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1.tif" ContentType="image/tiff"/>
  <Override PartName="/word/media/image5.png" ContentType="image/png"/>
  <Override PartName="/word/media/image10.png" ContentType="image/png"/>
  <Override PartName="/word/media/image2.png" ContentType="image/png"/>
  <Override PartName="/word/media/image3.png" ContentType="image/png"/>
  <Override PartName="/word/media/image4.png" ContentType="image/png"/>
  <Override PartName="/word/media/image6.png" ContentType="image/png"/>
  <Override PartName="/word/media/image7.png" ContentType="image/png"/>
  <Override PartName="/word/media/image8.png" ContentType="image/png"/>
  <Override PartName="/word/media/image9.png" ContentType="image/png"/>
  <Override PartName="/word/styles.xml" ContentType="application/vnd.openxmlformats-officedocument.wordprocessingml.styles+xml"/>
  <Override PartName="/word/theme/theme1.xml" ContentType="application/vnd.openxmlformats-officedocument.theme+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Standard"/>
        <w:jc w:val="center"/>
        <w:rPr>
          <w:sz w:val="28"/>
          <w:szCs w:val="28"/>
        </w:rPr>
      </w:pPr>
      <w:r>
        <w:rPr>
          <w:rFonts w:eastAsia="DejaVu Sans" w:ascii="Arial" w:hAnsi="Arial"/>
          <w:b/>
          <w:color w:val="000000"/>
          <w:sz w:val="28"/>
          <w:szCs w:val="28"/>
        </w:rPr>
        <w:t>Modelo de elevación del terreno de la Quebrada de Lules – Tucumán, empleando escenas SAOCOM</w:t>
      </w:r>
    </w:p>
    <w:p>
      <w:pPr>
        <w:pStyle w:val="Standard"/>
        <w:jc w:val="center"/>
        <w:rPr>
          <w:rFonts w:ascii="Arial" w:hAnsi="Arial" w:eastAsia="DejaVu Sans"/>
          <w:b/>
          <w:b/>
          <w:color w:val="000000"/>
          <w:sz w:val="36"/>
          <w:szCs w:val="36"/>
        </w:rPr>
      </w:pPr>
      <w:r>
        <w:rPr>
          <w:rFonts w:eastAsia="DejaVu Sans" w:ascii="Arial" w:hAnsi="Arial"/>
          <w:b/>
          <w:color w:val="000000"/>
          <w:sz w:val="36"/>
          <w:szCs w:val="36"/>
        </w:rPr>
      </w:r>
    </w:p>
    <w:p>
      <w:pPr>
        <w:pStyle w:val="Standard"/>
        <w:jc w:val="center"/>
        <w:rPr>
          <w:b w:val="false"/>
          <w:b w:val="false"/>
          <w:bCs w:val="false"/>
          <w:sz w:val="22"/>
          <w:szCs w:val="22"/>
        </w:rPr>
      </w:pPr>
      <w:r>
        <w:rPr>
          <w:rFonts w:eastAsia="DejaVu Sans" w:ascii="Arial" w:hAnsi="Arial"/>
          <w:b w:val="false"/>
          <w:bCs w:val="false"/>
          <w:color w:val="000000"/>
          <w:sz w:val="22"/>
          <w:szCs w:val="22"/>
        </w:rPr>
        <w:t xml:space="preserve">Horacio Leonardo Madariaga </w:t>
      </w:r>
      <w:r>
        <w:rPr>
          <w:rFonts w:eastAsia="DejaVu Sans" w:ascii="Arial" w:hAnsi="Arial"/>
          <w:b w:val="false"/>
          <w:bCs w:val="false"/>
          <w:color w:val="000000"/>
          <w:sz w:val="22"/>
          <w:szCs w:val="22"/>
          <w:vertAlign w:val="superscript"/>
        </w:rPr>
        <w:t>1, 2</w:t>
      </w:r>
    </w:p>
    <w:p>
      <w:pPr>
        <w:pStyle w:val="Standard"/>
        <w:jc w:val="center"/>
        <w:rPr>
          <w:b w:val="false"/>
          <w:b w:val="false"/>
          <w:bCs w:val="false"/>
          <w:sz w:val="22"/>
          <w:szCs w:val="22"/>
        </w:rPr>
      </w:pPr>
      <w:r>
        <w:rPr>
          <w:rFonts w:eastAsia="DejaVu Sans" w:ascii="Arial" w:hAnsi="Arial"/>
          <w:b w:val="false"/>
          <w:bCs w:val="false"/>
          <w:color w:val="000000"/>
          <w:sz w:val="22"/>
          <w:szCs w:val="22"/>
          <w:vertAlign w:val="superscript"/>
        </w:rPr>
        <w:t xml:space="preserve">1 </w:t>
      </w:r>
      <w:r>
        <w:rPr>
          <w:rFonts w:eastAsia="DejaVu Sans" w:ascii="Arial" w:hAnsi="Arial"/>
          <w:b w:val="false"/>
          <w:bCs w:val="false"/>
          <w:color w:val="000000"/>
          <w:sz w:val="22"/>
          <w:szCs w:val="22"/>
        </w:rPr>
        <w:t>Instituto de Estudios Geográficos, Universidad Nacional de Tucum</w:t>
      </w:r>
      <w:r>
        <w:rPr>
          <w:rFonts w:eastAsia="DejaVu Sans" w:cs="Lucida Sans" w:ascii="Arial" w:hAnsi="Arial"/>
          <w:b w:val="false"/>
          <w:bCs w:val="false"/>
          <w:color w:val="000000"/>
          <w:kern w:val="2"/>
          <w:sz w:val="22"/>
          <w:szCs w:val="22"/>
          <w:lang w:val="es-AR" w:eastAsia="zh-CN" w:bidi="hi-IN"/>
        </w:rPr>
        <w:t>án</w:t>
      </w:r>
    </w:p>
    <w:p>
      <w:pPr>
        <w:pStyle w:val="Standard"/>
        <w:jc w:val="center"/>
        <w:rPr>
          <w:b w:val="false"/>
          <w:b w:val="false"/>
          <w:bCs w:val="false"/>
          <w:sz w:val="22"/>
          <w:szCs w:val="22"/>
        </w:rPr>
      </w:pPr>
      <w:r>
        <w:rPr>
          <w:rFonts w:eastAsia="DejaVu Sans" w:ascii="Arial" w:hAnsi="Arial"/>
          <w:b w:val="false"/>
          <w:bCs w:val="false"/>
          <w:color w:val="000000"/>
          <w:sz w:val="22"/>
          <w:szCs w:val="22"/>
          <w:vertAlign w:val="superscript"/>
        </w:rPr>
        <w:t>2</w:t>
      </w:r>
      <w:r>
        <w:rPr>
          <w:rFonts w:eastAsia="DejaVu Sans" w:ascii="Arial" w:hAnsi="Arial"/>
          <w:b w:val="false"/>
          <w:bCs w:val="false"/>
          <w:color w:val="000000"/>
          <w:sz w:val="22"/>
          <w:szCs w:val="22"/>
        </w:rPr>
        <w:t>Instituto de Luz, Ambiente y Visión, Consejo Nacional de Investigaciones Cient</w:t>
      </w:r>
      <w:r>
        <w:rPr>
          <w:rFonts w:eastAsia="DejaVu Sans" w:cs="Lucida Sans" w:ascii="Arial" w:hAnsi="Arial"/>
          <w:b w:val="false"/>
          <w:bCs w:val="false"/>
          <w:color w:val="000000"/>
          <w:kern w:val="2"/>
          <w:sz w:val="22"/>
          <w:szCs w:val="22"/>
          <w:lang w:val="es-AR" w:eastAsia="zh-CN" w:bidi="hi-IN"/>
        </w:rPr>
        <w:t>íficas y Técnicas – Universidad Nacional de Tucumán</w:t>
      </w:r>
    </w:p>
    <w:p>
      <w:pPr>
        <w:pStyle w:val="Standard"/>
        <w:jc w:val="center"/>
        <w:rPr>
          <w:b w:val="false"/>
          <w:b w:val="false"/>
          <w:bCs w:val="false"/>
          <w:color w:val="204FDB"/>
          <w:sz w:val="22"/>
          <w:szCs w:val="22"/>
          <w:u w:val="single"/>
        </w:rPr>
      </w:pPr>
      <w:r>
        <w:rPr>
          <w:rFonts w:eastAsia="DejaVu Sans" w:cs="Lucida Sans" w:ascii="Arial" w:hAnsi="Arial"/>
          <w:b w:val="false"/>
          <w:bCs w:val="false"/>
          <w:color w:val="204FDB"/>
          <w:kern w:val="2"/>
          <w:sz w:val="22"/>
          <w:szCs w:val="22"/>
          <w:u w:val="single"/>
          <w:lang w:val="es-AR" w:eastAsia="zh-CN" w:bidi="hi-IN"/>
        </w:rPr>
        <w:t>madariagah@gmail.com</w:t>
      </w:r>
    </w:p>
    <w:p>
      <w:pPr>
        <w:pStyle w:val="Standard"/>
        <w:rPr/>
      </w:pPr>
      <w:r>
        <w:rPr/>
      </w:r>
    </w:p>
    <w:p>
      <w:pPr>
        <w:pStyle w:val="Standard"/>
        <w:widowControl/>
        <w:suppressAutoHyphens w:val="true"/>
        <w:bidi w:val="0"/>
        <w:spacing w:before="0" w:after="0"/>
        <w:ind w:left="567" w:right="567" w:hanging="0"/>
        <w:jc w:val="both"/>
        <w:textAlignment w:val="baseline"/>
        <w:rPr/>
      </w:pPr>
      <w:r>
        <w:rPr>
          <w:rFonts w:eastAsia="DejaVu Sans" w:ascii="Arial" w:hAnsi="Arial"/>
          <w:b/>
          <w:color w:val="000000"/>
        </w:rPr>
        <w:t xml:space="preserve">Resumen: </w:t>
      </w:r>
      <w:r>
        <w:rPr>
          <w:rFonts w:eastAsia="DejaVu Sans" w:ascii="Arial" w:hAnsi="Arial"/>
          <w:color w:val="000000"/>
        </w:rPr>
        <w:t xml:space="preserve">La cuenca del Rio Lules es de gran interés </w:t>
      </w:r>
      <w:r>
        <w:rPr>
          <w:rFonts w:eastAsia="DejaVu Sans" w:ascii="Arial" w:hAnsi="Arial"/>
          <w:color w:val="000000"/>
        </w:rPr>
        <w:t>para la Provincia de Tucum</w:t>
      </w:r>
      <w:r>
        <w:rPr>
          <w:rFonts w:eastAsia="DejaVu Sans" w:cs="Lucida Sans" w:ascii="Arial" w:hAnsi="Arial"/>
          <w:color w:val="000000"/>
          <w:kern w:val="2"/>
          <w:sz w:val="24"/>
          <w:szCs w:val="24"/>
          <w:lang w:val="es-AR" w:eastAsia="zh-CN" w:bidi="hi-IN"/>
        </w:rPr>
        <w:t xml:space="preserve">án, </w:t>
      </w:r>
      <w:r>
        <w:rPr>
          <w:rFonts w:eastAsia="DejaVu Sans" w:ascii="Arial" w:hAnsi="Arial"/>
          <w:color w:val="000000"/>
        </w:rPr>
        <w:t xml:space="preserve">debido a su potencial para  la provisión de agua potable </w:t>
      </w:r>
      <w:r>
        <w:rPr>
          <w:rFonts w:eastAsia="DejaVu Sans" w:ascii="Arial" w:hAnsi="Arial"/>
          <w:color w:val="000000"/>
        </w:rPr>
        <w:t xml:space="preserve">y </w:t>
      </w:r>
      <w:r>
        <w:rPr>
          <w:rFonts w:eastAsia="DejaVu Sans" w:ascii="Arial" w:hAnsi="Arial"/>
          <w:color w:val="000000"/>
        </w:rPr>
        <w:t xml:space="preserve">para recursos de riego en la llanura productiva. </w:t>
      </w:r>
      <w:r>
        <w:rPr>
          <w:rFonts w:eastAsia="DejaVu Sans" w:cs="" w:ascii="Arial" w:hAnsi="Arial"/>
          <w:b w:val="false"/>
          <w:bCs/>
          <w:color w:val="000000"/>
          <w:kern w:val="2"/>
          <w:lang w:eastAsia="en-US" w:bidi="ar-SA"/>
        </w:rPr>
        <w:t>El contar con un modelo de elevación del terreno de precisión es fundamental a la hora de desarrollar un plan de sistematización de dicha cuenca.</w:t>
      </w:r>
    </w:p>
    <w:p>
      <w:pPr>
        <w:pStyle w:val="Standard"/>
        <w:widowControl/>
        <w:suppressAutoHyphens w:val="true"/>
        <w:bidi w:val="0"/>
        <w:spacing w:before="0" w:after="0"/>
        <w:ind w:left="567" w:right="567" w:hanging="0"/>
        <w:jc w:val="both"/>
        <w:textAlignment w:val="baseline"/>
        <w:rPr/>
      </w:pPr>
      <w:r>
        <w:rPr>
          <w:rFonts w:eastAsia="DejaVu Sans" w:ascii="Arial" w:hAnsi="Arial"/>
          <w:color w:val="000000"/>
        </w:rPr>
        <w:t xml:space="preserve">El objetivo de este trabajo es desarrollar un Modelo de Elevación del </w:t>
      </w:r>
      <w:r>
        <w:rPr>
          <w:rFonts w:eastAsia="DejaVu Sans" w:ascii="Arial" w:hAnsi="Arial"/>
          <w:color w:val="000000"/>
        </w:rPr>
        <w:t>T</w:t>
      </w:r>
      <w:r>
        <w:rPr>
          <w:rFonts w:eastAsia="DejaVu Sans" w:ascii="Arial" w:hAnsi="Arial"/>
          <w:color w:val="000000"/>
        </w:rPr>
        <w:t>erreno de la Quebrada de Lules aplicando m</w:t>
      </w:r>
      <w:r>
        <w:rPr>
          <w:rFonts w:eastAsia="DejaVu Sans" w:cs="Lucida Sans" w:ascii="Arial" w:hAnsi="Arial"/>
          <w:color w:val="000000"/>
          <w:kern w:val="2"/>
          <w:sz w:val="24"/>
          <w:szCs w:val="24"/>
          <w:lang w:val="es-AR" w:eastAsia="zh-CN" w:bidi="hi-IN"/>
        </w:rPr>
        <w:t xml:space="preserve">étodos de interferometría </w:t>
      </w:r>
      <w:r>
        <w:rPr>
          <w:rFonts w:eastAsia="DejaVu Sans" w:ascii="Arial" w:hAnsi="Arial"/>
          <w:color w:val="000000"/>
        </w:rPr>
        <w:t xml:space="preserve">a partir de imágenes SAOCOM. Estas escenas </w:t>
      </w:r>
      <w:r>
        <w:rPr>
          <w:rFonts w:eastAsia="DejaVu Sans" w:ascii="Arial" w:hAnsi="Arial"/>
        </w:rPr>
        <w:t xml:space="preserve">se obtuvieron a partir de una convocatoria denominada: </w:t>
      </w:r>
      <w:r>
        <w:rPr>
          <w:rFonts w:cs="Arial" w:ascii="Arial" w:hAnsi="Arial"/>
          <w:bCs/>
        </w:rPr>
        <w:t xml:space="preserve">Anuncio de Oportunidad para el Desarrollo de Modelos Digitales de Elevación y su Uso en Aplicaciones SAR, realizada por la Misión CONAE/SIASGE. </w:t>
      </w:r>
    </w:p>
    <w:p>
      <w:pPr>
        <w:pStyle w:val="Standard"/>
        <w:widowControl/>
        <w:suppressAutoHyphens w:val="true"/>
        <w:bidi w:val="0"/>
        <w:spacing w:before="0" w:after="0"/>
        <w:ind w:left="567" w:right="340" w:hanging="0"/>
        <w:jc w:val="both"/>
        <w:textAlignment w:val="baseline"/>
        <w:rPr/>
      </w:pPr>
      <w:r>
        <w:rPr/>
      </w:r>
    </w:p>
    <w:p>
      <w:pPr>
        <w:pStyle w:val="Standard"/>
        <w:widowControl/>
        <w:suppressAutoHyphens w:val="true"/>
        <w:bidi w:val="0"/>
        <w:spacing w:before="0" w:after="0"/>
        <w:ind w:left="567" w:right="340" w:hanging="0"/>
        <w:jc w:val="both"/>
        <w:textAlignment w:val="baseline"/>
        <w:rPr/>
      </w:pPr>
      <w:r>
        <w:rPr>
          <w:rFonts w:cs="Arial" w:ascii="Arial" w:hAnsi="Arial"/>
          <w:b/>
          <w:bCs/>
        </w:rPr>
        <w:t xml:space="preserve">Palabras Clave: </w:t>
      </w:r>
      <w:r>
        <w:rPr>
          <w:rFonts w:cs="Arial" w:ascii="Arial" w:hAnsi="Arial"/>
          <w:b w:val="false"/>
          <w:bCs w:val="false"/>
        </w:rPr>
        <w:t>Topograf</w:t>
      </w:r>
      <w:r>
        <w:rPr>
          <w:rFonts w:eastAsia="NSimSun" w:cs="Arial" w:ascii="Arial" w:hAnsi="Arial"/>
          <w:b w:val="false"/>
          <w:bCs w:val="false"/>
          <w:color w:val="auto"/>
          <w:kern w:val="2"/>
          <w:sz w:val="24"/>
          <w:szCs w:val="24"/>
          <w:lang w:val="es-AR" w:eastAsia="zh-CN" w:bidi="hi-IN"/>
        </w:rPr>
        <w:t>ía, Imagen, Radar, Interferometría.</w:t>
      </w:r>
      <w:r>
        <w:rPr>
          <w:rFonts w:eastAsia="NSimSun" w:cs="Arial" w:ascii="Arial" w:hAnsi="Arial"/>
          <w:bCs/>
          <w:color w:val="auto"/>
          <w:kern w:val="2"/>
          <w:sz w:val="24"/>
          <w:szCs w:val="24"/>
          <w:lang w:val="es-AR" w:eastAsia="zh-CN" w:bidi="hi-IN"/>
        </w:rPr>
        <w:t xml:space="preserve"> </w:t>
      </w:r>
    </w:p>
    <w:p>
      <w:pPr>
        <w:pStyle w:val="Standard"/>
        <w:rPr/>
      </w:pPr>
      <w:r>
        <w:rPr/>
      </w:r>
    </w:p>
    <w:p>
      <w:pPr>
        <w:pStyle w:val="Standard"/>
        <w:rPr/>
      </w:pPr>
      <w:r>
        <w:rPr/>
      </w:r>
    </w:p>
    <w:p>
      <w:pPr>
        <w:pStyle w:val="Standard"/>
        <w:jc w:val="both"/>
        <w:rPr>
          <w:rFonts w:ascii="Arial" w:hAnsi="Arial" w:eastAsia="DejaVu Sans"/>
          <w:b/>
          <w:b/>
          <w:color w:val="000000"/>
        </w:rPr>
      </w:pPr>
      <w:r>
        <w:rPr>
          <w:rFonts w:eastAsia="DejaVu Sans" w:ascii="Arial" w:hAnsi="Arial"/>
          <w:b/>
          <w:color w:val="000000"/>
        </w:rPr>
        <w:t>1. INTRODUCCI</w:t>
      </w:r>
      <w:r>
        <w:rPr>
          <w:rFonts w:eastAsia="DejaVu Sans" w:cs="Lucida Sans" w:ascii="Arial" w:hAnsi="Arial"/>
          <w:b/>
          <w:color w:val="000000"/>
          <w:kern w:val="2"/>
          <w:sz w:val="24"/>
          <w:szCs w:val="24"/>
          <w:lang w:val="es-AR" w:eastAsia="zh-CN" w:bidi="hi-IN"/>
        </w:rPr>
        <w:t>ÓN</w:t>
      </w:r>
    </w:p>
    <w:p>
      <w:pPr>
        <w:pStyle w:val="Standard"/>
        <w:jc w:val="both"/>
        <w:rPr>
          <w:rFonts w:ascii="Arial" w:hAnsi="Arial" w:eastAsia="DejaVu Sans"/>
          <w:b/>
          <w:b/>
          <w:color w:val="000000"/>
        </w:rPr>
      </w:pPr>
      <w:r>
        <w:rPr>
          <w:rFonts w:eastAsia="DejaVu Sans" w:ascii="Arial" w:hAnsi="Arial"/>
          <w:b/>
          <w:color w:val="000000"/>
        </w:rPr>
      </w:r>
    </w:p>
    <w:p>
      <w:pPr>
        <w:pStyle w:val="Normal"/>
        <w:suppressAutoHyphens w:val="false"/>
        <w:spacing w:lineRule="auto" w:line="240" w:before="0" w:after="0"/>
        <w:contextualSpacing/>
        <w:jc w:val="both"/>
        <w:textAlignment w:val="auto"/>
        <w:rPr>
          <w:b w:val="false"/>
          <w:b w:val="false"/>
          <w:bCs w:val="false"/>
        </w:rPr>
      </w:pPr>
      <w:r>
        <w:rPr>
          <w:rFonts w:eastAsia="DejaVu Sans" w:cs="" w:ascii="Arial" w:hAnsi="Arial" w:cstheme="minorBidi"/>
          <w:b w:val="false"/>
          <w:bCs w:val="false"/>
          <w:color w:val="000000"/>
          <w:kern w:val="2"/>
          <w:lang w:eastAsia="en-US" w:bidi="ar-SA"/>
        </w:rPr>
        <w:t>A partir del procesamiento digital de escenas del Satélite Argentino de Observación  con Microondas (SAOCOM) es posible obtener una serie de productos esenciales en el análisis de la cobertura terrestre. Entre ellos podemos destacar los modelos de elevación del terreno, producto necesario para el estudio de cuencas hídricas.</w:t>
      </w:r>
    </w:p>
    <w:p>
      <w:pPr>
        <w:pStyle w:val="Standard"/>
        <w:jc w:val="both"/>
        <w:rPr>
          <w:b w:val="false"/>
          <w:b w:val="false"/>
          <w:bCs w:val="false"/>
        </w:rPr>
      </w:pPr>
      <w:r>
        <w:rPr>
          <w:b w:val="false"/>
          <w:bCs w:val="false"/>
        </w:rPr>
      </w:r>
    </w:p>
    <w:p>
      <w:pPr>
        <w:pStyle w:val="Standard"/>
        <w:jc w:val="both"/>
        <w:rPr>
          <w:rFonts w:ascii="Arial" w:hAnsi="Arial" w:eastAsia="DejaVu Sans"/>
          <w:b/>
          <w:b/>
          <w:color w:val="000000"/>
        </w:rPr>
      </w:pPr>
      <w:r>
        <w:rPr>
          <w:rFonts w:eastAsia="DejaVu Sans" w:ascii="Arial" w:hAnsi="Arial"/>
          <w:b/>
          <w:color w:val="000000"/>
        </w:rPr>
        <w:t>2. OBJETIVO</w:t>
      </w:r>
    </w:p>
    <w:p>
      <w:pPr>
        <w:pStyle w:val="Standard"/>
        <w:jc w:val="both"/>
        <w:rPr>
          <w:rFonts w:ascii="Arial" w:hAnsi="Arial" w:eastAsia="DejaVu Sans"/>
          <w:color w:val="000000"/>
        </w:rPr>
      </w:pPr>
      <w:r>
        <w:rPr>
          <w:rFonts w:eastAsia="DejaVu Sans" w:ascii="Arial" w:hAnsi="Arial"/>
          <w:color w:val="000000"/>
        </w:rPr>
      </w:r>
    </w:p>
    <w:p>
      <w:pPr>
        <w:pStyle w:val="Standard"/>
        <w:jc w:val="both"/>
        <w:rPr>
          <w:rFonts w:ascii="Arial" w:hAnsi="Arial" w:eastAsia="DejaVu Sans"/>
          <w:color w:val="000000"/>
        </w:rPr>
      </w:pPr>
      <w:r>
        <w:rPr>
          <w:rFonts w:eastAsia="DejaVu Sans" w:ascii="Arial" w:hAnsi="Arial"/>
          <w:color w:val="000000"/>
        </w:rPr>
        <w:t xml:space="preserve">El objetivo de este trabajo es desarrollar un Modelo de Elevación del Terreno de la Quebrada de Lules o parte de la misma a partir de imágenes SAOCOM. </w:t>
      </w:r>
    </w:p>
    <w:p>
      <w:pPr>
        <w:pStyle w:val="Standard"/>
        <w:jc w:val="both"/>
        <w:rPr>
          <w:rFonts w:ascii="Arial" w:hAnsi="Arial" w:eastAsia="DejaVu Sans"/>
          <w:color w:val="000000"/>
        </w:rPr>
      </w:pPr>
      <w:r>
        <w:rPr>
          <w:rFonts w:eastAsia="DejaVu Sans" w:ascii="Arial" w:hAnsi="Arial"/>
          <w:color w:val="000000"/>
        </w:rPr>
        <w:t xml:space="preserve">La cuenca del Rio Lules es de gran interés </w:t>
      </w:r>
      <w:r>
        <w:rPr>
          <w:rFonts w:eastAsia="DejaVu Sans" w:ascii="Arial" w:hAnsi="Arial"/>
          <w:color w:val="000000"/>
        </w:rPr>
        <w:t>para la Provincia de Tucum</w:t>
      </w:r>
      <w:r>
        <w:rPr>
          <w:rFonts w:eastAsia="DejaVu Sans" w:cs="Lucida Sans" w:ascii="Arial" w:hAnsi="Arial"/>
          <w:color w:val="000000"/>
          <w:kern w:val="2"/>
          <w:sz w:val="24"/>
          <w:szCs w:val="24"/>
          <w:lang w:val="es-AR" w:eastAsia="zh-CN" w:bidi="hi-IN"/>
        </w:rPr>
        <w:t xml:space="preserve">án, </w:t>
      </w:r>
      <w:r>
        <w:rPr>
          <w:rFonts w:eastAsia="DejaVu Sans" w:ascii="Arial" w:hAnsi="Arial"/>
          <w:color w:val="000000"/>
        </w:rPr>
        <w:t xml:space="preserve">debido a su potencial para la ejecución de </w:t>
      </w:r>
      <w:r>
        <w:rPr>
          <w:rFonts w:eastAsia="DejaVu Sans" w:ascii="Arial" w:hAnsi="Arial"/>
          <w:color w:val="000000"/>
        </w:rPr>
        <w:t xml:space="preserve">diversos </w:t>
      </w:r>
      <w:r>
        <w:rPr>
          <w:rFonts w:eastAsia="DejaVu Sans" w:ascii="Arial" w:hAnsi="Arial"/>
          <w:color w:val="000000"/>
        </w:rPr>
        <w:t xml:space="preserve">proyectos, </w:t>
      </w:r>
      <w:r>
        <w:rPr>
          <w:rFonts w:eastAsia="DejaVu Sans" w:ascii="Arial" w:hAnsi="Arial"/>
          <w:color w:val="000000"/>
        </w:rPr>
        <w:t>desde objetivos hidroel</w:t>
      </w:r>
      <w:r>
        <w:rPr>
          <w:rFonts w:eastAsia="DejaVu Sans" w:cs="Lucida Sans" w:ascii="Arial" w:hAnsi="Arial"/>
          <w:color w:val="000000"/>
          <w:kern w:val="2"/>
          <w:sz w:val="24"/>
          <w:szCs w:val="24"/>
          <w:lang w:val="es-AR" w:eastAsia="zh-CN" w:bidi="hi-IN"/>
        </w:rPr>
        <w:t xml:space="preserve">éctricos, hasta </w:t>
      </w:r>
      <w:r>
        <w:rPr>
          <w:rFonts w:eastAsia="DejaVu Sans" w:ascii="Arial" w:hAnsi="Arial"/>
          <w:color w:val="000000"/>
        </w:rPr>
        <w:t xml:space="preserve">la provisión de agua potable como </w:t>
      </w:r>
      <w:r>
        <w:rPr>
          <w:rFonts w:eastAsia="DejaVu Sans" w:ascii="Arial" w:hAnsi="Arial"/>
          <w:color w:val="000000"/>
        </w:rPr>
        <w:t>tambi</w:t>
      </w:r>
      <w:r>
        <w:rPr>
          <w:rFonts w:eastAsia="DejaVu Sans" w:cs="Lucida Sans" w:ascii="Arial" w:hAnsi="Arial"/>
          <w:color w:val="000000"/>
          <w:kern w:val="2"/>
          <w:sz w:val="24"/>
          <w:szCs w:val="24"/>
          <w:lang w:val="es-AR" w:eastAsia="zh-CN" w:bidi="hi-IN"/>
        </w:rPr>
        <w:t xml:space="preserve">én </w:t>
      </w:r>
      <w:r>
        <w:rPr>
          <w:rFonts w:eastAsia="DejaVu Sans" w:ascii="Arial" w:hAnsi="Arial"/>
          <w:color w:val="000000"/>
        </w:rPr>
        <w:t>para recursos de riego en la llanura productiva.</w:t>
      </w:r>
    </w:p>
    <w:p>
      <w:pPr>
        <w:pStyle w:val="Standard"/>
        <w:jc w:val="both"/>
        <w:rPr>
          <w:rFonts w:ascii="Arial" w:hAnsi="Arial" w:eastAsia="DejaVu Sans"/>
          <w:bCs/>
          <w:color w:val="000000"/>
        </w:rPr>
      </w:pPr>
      <w:r>
        <w:rPr>
          <w:rFonts w:eastAsia="DejaVu Sans" w:ascii="Arial" w:hAnsi="Arial"/>
          <w:bCs/>
          <w:color w:val="000000"/>
        </w:rPr>
        <w:t>El contar con un modelo de elevación del terreno de precisión es fundamental a la hora de desarrollar un plan de sistematización de dicha cuenca</w:t>
      </w:r>
      <w:bookmarkStart w:id="0" w:name="_GoBack"/>
      <w:bookmarkEnd w:id="0"/>
      <w:r>
        <w:rPr>
          <w:rFonts w:eastAsia="DejaVu Sans" w:ascii="Arial" w:hAnsi="Arial"/>
          <w:bCs/>
          <w:color w:val="000000"/>
        </w:rPr>
        <w:t>. En la figura 1 observamos la imagen Bing Satelite del paisaje de la quebrada y su situaci</w:t>
      </w:r>
      <w:r>
        <w:rPr>
          <w:rFonts w:eastAsia="DejaVu Sans" w:cs="Lucida Sans" w:ascii="Arial" w:hAnsi="Arial"/>
          <w:bCs/>
          <w:color w:val="000000"/>
          <w:kern w:val="2"/>
          <w:sz w:val="24"/>
          <w:szCs w:val="24"/>
          <w:lang w:val="es-AR" w:eastAsia="zh-CN" w:bidi="hi-IN"/>
        </w:rPr>
        <w:t>ón relativa en la Provincia de Tucumán.</w:t>
      </w:r>
    </w:p>
    <w:p>
      <w:pPr>
        <w:pStyle w:val="Standard"/>
        <w:jc w:val="both"/>
        <w:rPr>
          <w:rFonts w:ascii="Arial" w:hAnsi="Arial" w:eastAsia="DejaVu Sans"/>
          <w:bCs/>
          <w:color w:val="000000"/>
        </w:rPr>
      </w:pPr>
      <w:r>
        <w:rPr>
          <w:rFonts w:eastAsia="DejaVu Sans" w:ascii="Arial" w:hAnsi="Arial"/>
          <w:bCs/>
          <w:color w:val="000000"/>
        </w:rPr>
        <w:drawing>
          <wp:anchor behindDoc="0" distT="0" distB="0" distL="0" distR="0" simplePos="0" locked="0" layoutInCell="0" allowOverlap="1" relativeHeight="11">
            <wp:simplePos x="0" y="0"/>
            <wp:positionH relativeFrom="column">
              <wp:posOffset>-155575</wp:posOffset>
            </wp:positionH>
            <wp:positionV relativeFrom="paragraph">
              <wp:posOffset>270510</wp:posOffset>
            </wp:positionV>
            <wp:extent cx="5262880" cy="3279775"/>
            <wp:effectExtent l="0" t="0" r="0" b="0"/>
            <wp:wrapSquare wrapText="largest"/>
            <wp:docPr id="1" name="Imagen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5" descr=""/>
                    <pic:cNvPicPr>
                      <a:picLocks noChangeAspect="1" noChangeArrowheads="1"/>
                    </pic:cNvPicPr>
                  </pic:nvPicPr>
                  <pic:blipFill>
                    <a:blip r:embed="rId2"/>
                    <a:srcRect l="0" t="28185" r="0" b="43548"/>
                    <a:stretch>
                      <a:fillRect/>
                    </a:stretch>
                  </pic:blipFill>
                  <pic:spPr bwMode="auto">
                    <a:xfrm>
                      <a:off x="0" y="0"/>
                      <a:ext cx="5262880" cy="3279775"/>
                    </a:xfrm>
                    <a:prstGeom prst="rect">
                      <a:avLst/>
                    </a:prstGeom>
                  </pic:spPr>
                </pic:pic>
              </a:graphicData>
            </a:graphic>
          </wp:anchor>
        </w:drawing>
      </w:r>
    </w:p>
    <w:p>
      <w:pPr>
        <w:pStyle w:val="Standard"/>
        <w:jc w:val="center"/>
        <w:rPr>
          <w:sz w:val="18"/>
          <w:szCs w:val="18"/>
        </w:rPr>
      </w:pPr>
      <w:r>
        <w:rPr>
          <w:rFonts w:eastAsia="DejaVu Sans" w:ascii="Arial" w:hAnsi="Arial"/>
          <w:bCs/>
          <w:color w:val="000000"/>
          <w:sz w:val="18"/>
          <w:szCs w:val="18"/>
        </w:rPr>
        <w:t xml:space="preserve">Figura 1: </w:t>
      </w:r>
      <w:r>
        <w:rPr>
          <w:rFonts w:eastAsia="DejaVu Sans" w:cs="Lucida Sans" w:ascii="Arial" w:hAnsi="Arial"/>
          <w:bCs/>
          <w:color w:val="000000"/>
          <w:kern w:val="2"/>
          <w:sz w:val="18"/>
          <w:szCs w:val="18"/>
          <w:lang w:val="es-AR" w:eastAsia="zh-CN" w:bidi="hi-IN"/>
        </w:rPr>
        <w:t>Área de estudio. Quebrada del Río Lules.</w:t>
      </w:r>
    </w:p>
    <w:p>
      <w:pPr>
        <w:pStyle w:val="Standard"/>
        <w:jc w:val="both"/>
        <w:rPr>
          <w:rFonts w:ascii="Arial" w:hAnsi="Arial" w:eastAsia="DejaVu Sans"/>
          <w:bCs/>
          <w:color w:val="000000"/>
        </w:rPr>
      </w:pPr>
      <w:r>
        <w:rPr>
          <w:rFonts w:eastAsia="DejaVu Sans" w:ascii="Arial" w:hAnsi="Arial"/>
          <w:bCs/>
          <w:color w:val="000000"/>
        </w:rPr>
      </w:r>
    </w:p>
    <w:p>
      <w:pPr>
        <w:pStyle w:val="Standard"/>
        <w:jc w:val="both"/>
        <w:rPr>
          <w:rFonts w:ascii="Arial" w:hAnsi="Arial" w:eastAsia="DejaVu Sans"/>
          <w:bCs/>
          <w:color w:val="000000"/>
        </w:rPr>
      </w:pPr>
      <w:r>
        <w:rPr>
          <w:rFonts w:eastAsia="DejaVu Sans" w:ascii="Arial" w:hAnsi="Arial"/>
          <w:bCs/>
          <w:color w:val="000000"/>
        </w:rPr>
      </w:r>
    </w:p>
    <w:p>
      <w:pPr>
        <w:pStyle w:val="Standard"/>
        <w:jc w:val="both"/>
        <w:rPr>
          <w:b/>
          <w:b/>
        </w:rPr>
      </w:pPr>
      <w:r>
        <w:rPr>
          <w:rFonts w:eastAsia="DejaVu Sans" w:ascii="Arial" w:hAnsi="Arial"/>
          <w:b/>
          <w:bCs/>
          <w:color w:val="000000"/>
        </w:rPr>
        <w:t>3. METODOLOG</w:t>
      </w:r>
      <w:r>
        <w:rPr>
          <w:rFonts w:eastAsia="DejaVu Sans" w:cs="Lucida Sans" w:ascii="Arial" w:hAnsi="Arial"/>
          <w:b/>
          <w:bCs/>
          <w:color w:val="000000"/>
          <w:kern w:val="2"/>
          <w:sz w:val="24"/>
          <w:szCs w:val="24"/>
          <w:lang w:val="es-AR" w:eastAsia="zh-CN" w:bidi="hi-IN"/>
        </w:rPr>
        <w:t>ÍA</w:t>
      </w:r>
    </w:p>
    <w:p>
      <w:pPr>
        <w:pStyle w:val="Standard"/>
        <w:jc w:val="both"/>
        <w:rPr>
          <w:rFonts w:ascii="Arial" w:hAnsi="Arial" w:eastAsia="DejaVu Sans"/>
          <w:color w:val="000000"/>
        </w:rPr>
      </w:pPr>
      <w:r>
        <w:rPr>
          <w:rFonts w:eastAsia="DejaVu Sans" w:ascii="Arial" w:hAnsi="Arial"/>
          <w:color w:val="000000"/>
        </w:rPr>
      </w:r>
    </w:p>
    <w:p>
      <w:pPr>
        <w:pStyle w:val="Standard"/>
        <w:jc w:val="both"/>
        <w:rPr>
          <w:rFonts w:ascii="Arial" w:hAnsi="Arial" w:eastAsia="DejaVu Sans"/>
          <w:color w:val="000000"/>
        </w:rPr>
      </w:pPr>
      <w:r>
        <w:rPr>
          <w:rFonts w:eastAsia="DejaVu Sans" w:ascii="Arial" w:hAnsi="Arial"/>
          <w:color w:val="000000"/>
        </w:rPr>
        <w:t>La metodología consiste en el procesamiento escenas SAOCOM, correspondientes al Radar Argentino de Apertura Sintética que trabaja en la banda L. Esta longitud de onda, permite detectar la señal de retrodispersión proveniente del terreno sin registrar la vegetación, lo que la hace ideal para analizar el suelo.</w:t>
      </w:r>
    </w:p>
    <w:p>
      <w:pPr>
        <w:pStyle w:val="Standard"/>
        <w:jc w:val="both"/>
        <w:rPr>
          <w:rFonts w:ascii="Arial" w:hAnsi="Arial" w:eastAsia="DejaVu Sans"/>
          <w:color w:val="000000"/>
        </w:rPr>
      </w:pPr>
      <w:r>
        <w:rPr>
          <w:rFonts w:eastAsia="DejaVu Sans" w:ascii="Arial" w:hAnsi="Arial"/>
          <w:color w:val="000000"/>
        </w:rPr>
        <w:t>La metodología basada en pares interferométricos, permite además, detectar la topografía relativa al suelo, a partir del cual se obtiene un modelo digital del terreno.</w:t>
      </w:r>
    </w:p>
    <w:p>
      <w:pPr>
        <w:pStyle w:val="Standard"/>
        <w:jc w:val="both"/>
        <w:rPr>
          <w:rFonts w:ascii="Arial" w:hAnsi="Arial" w:eastAsia="DejaVu Sans"/>
          <w:color w:val="000000"/>
        </w:rPr>
      </w:pPr>
      <w:r>
        <w:rPr>
          <w:rFonts w:eastAsia="DejaVu Sans" w:ascii="Arial" w:hAnsi="Arial"/>
          <w:color w:val="000000"/>
        </w:rPr>
        <w:t xml:space="preserve">En este trabajo se aplica esta metodología, llamada, interferometría de radar de apertura sintética (in-SAR) para determinar la topografía del área de estudio. </w:t>
      </w:r>
    </w:p>
    <w:p>
      <w:pPr>
        <w:pStyle w:val="Standard"/>
        <w:jc w:val="both"/>
        <w:rPr>
          <w:rFonts w:ascii="Arial" w:hAnsi="Arial" w:eastAsia="DejaVu Sans"/>
          <w:color w:val="000000"/>
        </w:rPr>
      </w:pPr>
      <w:r>
        <w:rPr>
          <w:rFonts w:eastAsia="DejaVu Sans" w:ascii="Arial" w:hAnsi="Arial"/>
          <w:color w:val="000000"/>
        </w:rPr>
      </w:r>
    </w:p>
    <w:p>
      <w:pPr>
        <w:pStyle w:val="Standard"/>
        <w:jc w:val="both"/>
        <w:rPr>
          <w:rFonts w:ascii="Arial" w:hAnsi="Arial" w:eastAsia="DejaVu Sans"/>
          <w:color w:val="000000"/>
        </w:rPr>
      </w:pPr>
      <w:r>
        <w:rPr>
          <w:rFonts w:eastAsia="DejaVu Sans" w:ascii="Arial" w:hAnsi="Arial"/>
          <w:color w:val="000000"/>
        </w:rPr>
      </w:r>
    </w:p>
    <w:p>
      <w:pPr>
        <w:pStyle w:val="Standard"/>
        <w:jc w:val="both"/>
        <w:rPr>
          <w:rFonts w:ascii="Arial" w:hAnsi="Arial" w:eastAsia="DejaVu Sans"/>
          <w:b/>
          <w:b/>
          <w:color w:val="000000"/>
        </w:rPr>
      </w:pPr>
      <w:r>
        <w:rPr>
          <w:rFonts w:eastAsia="DejaVu Sans" w:ascii="Arial" w:hAnsi="Arial"/>
          <w:b/>
          <w:color w:val="000000"/>
        </w:rPr>
        <w:t>4. PROCESAMIENTO</w:t>
      </w:r>
    </w:p>
    <w:p>
      <w:pPr>
        <w:pStyle w:val="Standard"/>
        <w:jc w:val="both"/>
        <w:rPr>
          <w:rFonts w:ascii="Arial" w:hAnsi="Arial" w:eastAsia="DejaVu Sans"/>
          <w:color w:val="000000"/>
        </w:rPr>
      </w:pPr>
      <w:r>
        <w:rPr>
          <w:rFonts w:eastAsia="DejaVu Sans" w:ascii="Arial" w:hAnsi="Arial"/>
          <w:color w:val="000000"/>
        </w:rPr>
      </w:r>
    </w:p>
    <w:p>
      <w:pPr>
        <w:pStyle w:val="Default"/>
        <w:jc w:val="both"/>
        <w:rPr/>
      </w:pPr>
      <w:r>
        <w:rPr>
          <w:rFonts w:eastAsia="DejaVu Sans" w:ascii="Arial" w:hAnsi="Arial"/>
        </w:rPr>
        <w:t xml:space="preserve">Las escenas SAOCOM se obtuvieron a partir de una convocatoria denominada: </w:t>
      </w:r>
      <w:r>
        <w:rPr>
          <w:rFonts w:cs="Arial" w:ascii="Arial" w:hAnsi="Arial"/>
          <w:bCs/>
        </w:rPr>
        <w:t>Anuncio de Oportunidad para el Desarrollo de Modelos Digitales de Elevación y su Uso en Aplicaciones SAR, realizada por la Misión CONAE/SIASGE. Las escenas se descargan del catálogo correspondiente provisto por Comisión Nacional de Actividades Espaciales (CONAE).</w:t>
      </w:r>
    </w:p>
    <w:p>
      <w:pPr>
        <w:pStyle w:val="Default"/>
        <w:jc w:val="both"/>
        <w:rPr>
          <w:rFonts w:ascii="Arial" w:hAnsi="Arial" w:cs="Arial"/>
          <w:bCs/>
        </w:rPr>
      </w:pPr>
      <w:r>
        <w:rPr>
          <w:rFonts w:cs="Arial" w:ascii="Arial" w:hAnsi="Arial"/>
          <w:bCs/>
        </w:rPr>
      </w:r>
    </w:p>
    <w:p>
      <w:pPr>
        <w:pStyle w:val="Default"/>
        <w:jc w:val="both"/>
        <w:rPr>
          <w:rFonts w:ascii="Arial" w:hAnsi="Arial" w:cs="Arial"/>
          <w:bCs/>
        </w:rPr>
      </w:pPr>
      <w:r>
        <w:rPr>
          <w:rFonts w:cs="Arial" w:ascii="Arial" w:hAnsi="Arial"/>
          <w:bCs/>
        </w:rPr>
        <w:t>Es importante una buena selección de las escenas, de tal forma que resulten aptas para la metodología in-SAR. Deben ser escenas obtenidas a partir del mismo modo de adquisición con igual polarización y dirección de órbita. Deben tener una línea de tiempo próxima (8 o 16 días), es decir, una escena con respecto a la otra, de manera de que entre ellas no existan diferencias en la topografía ni grandes diferencias en las condiciones de humedad. Es decir, se trata de que sean de fechas lo más próximas posibles. En cuanto a la línea de base (distancia entre las órbitas) pueden variar entre 100 y 400 metros, dependiendo de los ángulos de adquisición.</w:t>
      </w:r>
    </w:p>
    <w:p>
      <w:pPr>
        <w:pStyle w:val="Default"/>
        <w:jc w:val="both"/>
        <w:rPr>
          <w:rFonts w:ascii="Arial" w:hAnsi="Arial" w:cs="Arial"/>
          <w:bCs/>
        </w:rPr>
      </w:pPr>
      <w:r>
        <w:rPr>
          <w:rFonts w:cs="Arial" w:ascii="Arial" w:hAnsi="Arial"/>
          <w:bCs/>
        </w:rPr>
      </w:r>
    </w:p>
    <w:p>
      <w:pPr>
        <w:pStyle w:val="Default"/>
        <w:jc w:val="both"/>
        <w:rPr>
          <w:rFonts w:ascii="Arial" w:hAnsi="Arial" w:cs="Arial"/>
          <w:bCs/>
        </w:rPr>
      </w:pPr>
      <w:r>
        <w:rPr>
          <w:rFonts w:cs="Arial" w:ascii="Arial" w:hAnsi="Arial"/>
          <w:bCs/>
        </w:rPr>
        <w:t xml:space="preserve">Para el procesamiento se emplea el software SNAP de la Agencia Espacial Europea (ESA), este procesamiento implica realizar varios pasos los que incluyen recortes, co-registros, procesamientos de amplitud y fase, y filtrados. </w:t>
      </w:r>
    </w:p>
    <w:p>
      <w:pPr>
        <w:pStyle w:val="Default"/>
        <w:jc w:val="both"/>
        <w:rPr/>
      </w:pPr>
      <w:r>
        <w:rPr>
          <w:rFonts w:cs="Arial" w:ascii="Arial" w:hAnsi="Arial"/>
          <w:bCs/>
        </w:rPr>
        <w:t>Como resultado se obtiene una escena en 3 dimensiones con una resolución aproximada de 6.4  metros de pixel y una resolución en altura de 10 cent</w:t>
      </w:r>
      <w:r>
        <w:rPr>
          <w:rFonts w:eastAsia="Courier New" w:cs="Arial" w:ascii="Arial" w:hAnsi="Arial"/>
          <w:bCs/>
          <w:color w:val="000000"/>
          <w:lang w:val="es-ES" w:eastAsia="es-ES" w:bidi="ar-SA"/>
        </w:rPr>
        <w:t>ímetros</w:t>
      </w:r>
      <w:r>
        <w:rPr>
          <w:rFonts w:cs="Arial" w:ascii="Arial" w:hAnsi="Arial"/>
          <w:bCs/>
        </w:rPr>
        <w:t xml:space="preserve">. Luego, el producto obtenido se ajusta a un modelo de referencia </w:t>
      </w:r>
      <w:r>
        <w:rPr>
          <w:rFonts w:eastAsia="DejaVu Sans" w:ascii="Arial" w:hAnsi="Arial"/>
        </w:rPr>
        <w:t>existente, (en nuestro caso hemos empleado un modelo de elevaci</w:t>
      </w:r>
      <w:r>
        <w:rPr>
          <w:rFonts w:eastAsia="DejaVu Sans" w:cs="Times New Roman" w:ascii="Arial" w:hAnsi="Arial"/>
          <w:color w:val="000000"/>
          <w:lang w:val="es-ES" w:eastAsia="es-ES" w:bidi="ar-SA"/>
        </w:rPr>
        <w:t>ón de referencia MDT</w:t>
      </w:r>
      <w:r>
        <w:rPr>
          <w:rFonts w:eastAsia="DejaVu Sans" w:ascii="Arial" w:hAnsi="Arial"/>
        </w:rPr>
        <w:t>-REF derivado del producto publicado ALOS Palsar, también de banda L), para crear un producto corregido al terreno.</w:t>
      </w:r>
    </w:p>
    <w:p>
      <w:pPr>
        <w:pStyle w:val="Default"/>
        <w:jc w:val="both"/>
        <w:rPr>
          <w:rFonts w:ascii="Arial" w:hAnsi="Arial" w:cs="Arial"/>
          <w:bCs/>
        </w:rPr>
      </w:pPr>
      <w:r>
        <w:rPr>
          <w:rFonts w:cs="Arial" w:ascii="Arial" w:hAnsi="Arial"/>
          <w:bCs/>
        </w:rPr>
        <w:t xml:space="preserve">Estas experiencias en el procesamiento de escenas SAOCOM son fundamentales para optimizar las metodologías y los criterios empleados. </w:t>
      </w:r>
    </w:p>
    <w:p>
      <w:pPr>
        <w:pStyle w:val="Default"/>
        <w:jc w:val="both"/>
        <w:rPr>
          <w:rFonts w:ascii="Arial" w:hAnsi="Arial" w:cs="Arial"/>
          <w:bCs/>
        </w:rPr>
      </w:pPr>
      <w:r>
        <w:rPr>
          <w:rFonts w:cs="Arial" w:ascii="Arial" w:hAnsi="Arial"/>
          <w:bCs/>
        </w:rPr>
        <w:t>El desarrollo metodológico consta de los siguientes procesamientos:</w:t>
      </w:r>
    </w:p>
    <w:p>
      <w:pPr>
        <w:pStyle w:val="Normal"/>
        <w:suppressAutoHyphens w:val="false"/>
        <w:spacing w:before="0" w:after="0"/>
        <w:contextualSpacing/>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before="0" w:after="0"/>
        <w:contextualSpacing/>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ListParagraph"/>
        <w:widowControl/>
        <w:numPr>
          <w:ilvl w:val="0"/>
          <w:numId w:val="2"/>
        </w:numPr>
        <w:suppressAutoHyphens w:val="false"/>
        <w:bidi w:val="0"/>
        <w:spacing w:before="0" w:after="0"/>
        <w:ind w:left="340" w:right="0" w:hanging="340"/>
        <w:contextualSpacing/>
        <w:jc w:val="left"/>
        <w:textAlignment w:val="auto"/>
        <w:rPr>
          <w:rFonts w:ascii="Times New Roman" w:hAnsi="Times New Roman" w:eastAsia="Times New Roman" w:cs="Times New Roman"/>
          <w:color w:val="000000"/>
          <w:kern w:val="0"/>
          <w:lang w:eastAsia="en-US" w:bidi="ar-SA"/>
        </w:rPr>
      </w:pPr>
      <w:r>
        <w:rPr>
          <w:rFonts w:eastAsia="DejaVu Sans" w:cs="" w:ascii="Arial" w:hAnsi="Arial" w:cstheme="minorBidi"/>
          <w:color w:val="000000"/>
          <w:kern w:val="2"/>
          <w:lang w:eastAsia="en-US" w:bidi="ar-SA"/>
        </w:rPr>
        <w:t>Selección del par de escenas SAOCOM (según fechas y línea de base)</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drawing>
          <wp:inline distT="0" distB="0" distL="0" distR="0">
            <wp:extent cx="4187825" cy="2312035"/>
            <wp:effectExtent l="0" t="0" r="0" b="0"/>
            <wp:docPr id="2"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3" descr=""/>
                    <pic:cNvPicPr>
                      <a:picLocks noChangeAspect="1" noChangeArrowheads="1"/>
                    </pic:cNvPicPr>
                  </pic:nvPicPr>
                  <pic:blipFill>
                    <a:blip r:embed="rId3"/>
                    <a:stretch>
                      <a:fillRect/>
                    </a:stretch>
                  </pic:blipFill>
                  <pic:spPr bwMode="auto">
                    <a:xfrm>
                      <a:off x="0" y="0"/>
                      <a:ext cx="4187825" cy="2312035"/>
                    </a:xfrm>
                    <a:prstGeom prst="rect">
                      <a:avLst/>
                    </a:prstGeom>
                  </pic:spPr>
                </pic:pic>
              </a:graphicData>
            </a:graphic>
          </wp:inline>
        </w:drawing>
      </w:r>
    </w:p>
    <w:p>
      <w:pPr>
        <w:pStyle w:val="Normal"/>
        <w:suppressAutoHyphens w:val="false"/>
        <w:spacing w:lineRule="auto" w:line="360" w:before="0" w:after="0"/>
        <w:contextualSpacing/>
        <w:jc w:val="center"/>
        <w:textAlignment w:val="auto"/>
        <w:rPr>
          <w:sz w:val="18"/>
          <w:szCs w:val="18"/>
        </w:rPr>
      </w:pPr>
      <w:r>
        <w:rPr>
          <w:rFonts w:eastAsia="DejaVu Sans" w:cs="" w:ascii="Arial" w:hAnsi="Arial" w:cstheme="minorBidi"/>
          <w:i w:val="false"/>
          <w:iCs w:val="false"/>
          <w:color w:val="000000"/>
          <w:kern w:val="2"/>
          <w:sz w:val="18"/>
          <w:szCs w:val="18"/>
          <w:lang w:eastAsia="en-US" w:bidi="ar-SA"/>
        </w:rPr>
        <w:t>Figura 2: Escena SAOCOM Master.</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drawing>
          <wp:inline distT="0" distB="0" distL="0" distR="0">
            <wp:extent cx="4274185" cy="2360295"/>
            <wp:effectExtent l="0" t="0" r="0" b="0"/>
            <wp:docPr id="3" name="Imagen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
                    <pic:cNvPicPr>
                      <a:picLocks noChangeAspect="1" noChangeArrowheads="1"/>
                    </pic:cNvPicPr>
                  </pic:nvPicPr>
                  <pic:blipFill>
                    <a:blip r:embed="rId4"/>
                    <a:stretch>
                      <a:fillRect/>
                    </a:stretch>
                  </pic:blipFill>
                  <pic:spPr bwMode="auto">
                    <a:xfrm>
                      <a:off x="0" y="0"/>
                      <a:ext cx="4274185" cy="2360295"/>
                    </a:xfrm>
                    <a:prstGeom prst="rect">
                      <a:avLst/>
                    </a:prstGeom>
                  </pic:spPr>
                </pic:pic>
              </a:graphicData>
            </a:graphic>
          </wp:inline>
        </w:drawing>
      </w:r>
    </w:p>
    <w:p>
      <w:pPr>
        <w:pStyle w:val="Normal"/>
        <w:suppressAutoHyphens w:val="false"/>
        <w:spacing w:lineRule="auto" w:line="360" w:before="0" w:after="0"/>
        <w:contextualSpacing/>
        <w:jc w:val="center"/>
        <w:textAlignment w:val="auto"/>
        <w:rPr>
          <w:sz w:val="18"/>
          <w:szCs w:val="18"/>
        </w:rPr>
      </w:pPr>
      <w:r>
        <w:rPr>
          <w:rFonts w:eastAsia="DejaVu Sans" w:cs="" w:ascii="Arial" w:hAnsi="Arial" w:cstheme="minorBidi"/>
          <w:i w:val="false"/>
          <w:iCs w:val="false"/>
          <w:color w:val="000000"/>
          <w:kern w:val="2"/>
          <w:sz w:val="18"/>
          <w:szCs w:val="18"/>
          <w:lang w:eastAsia="en-US" w:bidi="ar-SA"/>
        </w:rPr>
        <w:t>Figura 3: Escena SAOCOM Slave.</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En la figura 2 y 3 visualizamos la selección de escenas a partir del Catálogo SAOCOM (CONAE).</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drawing>
          <wp:inline distT="0" distB="0" distL="0" distR="0">
            <wp:extent cx="4642485" cy="2901315"/>
            <wp:effectExtent l="0" t="0" r="0" b="0"/>
            <wp:docPr id="4" name="Imagen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 descr=""/>
                    <pic:cNvPicPr>
                      <a:picLocks noChangeAspect="1" noChangeArrowheads="1"/>
                    </pic:cNvPicPr>
                  </pic:nvPicPr>
                  <pic:blipFill>
                    <a:blip r:embed="rId5"/>
                    <a:stretch>
                      <a:fillRect/>
                    </a:stretch>
                  </pic:blipFill>
                  <pic:spPr bwMode="auto">
                    <a:xfrm>
                      <a:off x="0" y="0"/>
                      <a:ext cx="4642485" cy="2901315"/>
                    </a:xfrm>
                    <a:prstGeom prst="rect">
                      <a:avLst/>
                    </a:prstGeom>
                  </pic:spPr>
                </pic:pic>
              </a:graphicData>
            </a:graphic>
          </wp:inline>
        </w:drawing>
      </w:r>
    </w:p>
    <w:p>
      <w:pPr>
        <w:pStyle w:val="Normal"/>
        <w:suppressAutoHyphens w:val="false"/>
        <w:spacing w:lineRule="auto" w:line="360" w:before="0" w:after="0"/>
        <w:contextualSpacing/>
        <w:jc w:val="center"/>
        <w:textAlignment w:val="auto"/>
        <w:rPr>
          <w:sz w:val="18"/>
          <w:szCs w:val="18"/>
        </w:rPr>
      </w:pPr>
      <w:r>
        <w:rPr>
          <w:rFonts w:eastAsia="DejaVu Sans" w:cs="" w:ascii="Arial" w:hAnsi="Arial" w:cstheme="minorBidi"/>
          <w:i w:val="false"/>
          <w:iCs w:val="false"/>
          <w:color w:val="000000"/>
          <w:kern w:val="2"/>
          <w:sz w:val="18"/>
          <w:szCs w:val="18"/>
          <w:lang w:eastAsia="en-US" w:bidi="ar-SA"/>
        </w:rPr>
        <w:t>Figura 4: Utilitario para par interferométrico CONAE.</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ListParagraph"/>
        <w:widowControl/>
        <w:numPr>
          <w:ilvl w:val="0"/>
          <w:numId w:val="1"/>
        </w:numPr>
        <w:suppressAutoHyphens w:val="false"/>
        <w:bidi w:val="0"/>
        <w:spacing w:lineRule="auto" w:line="360" w:before="0" w:after="0"/>
        <w:ind w:left="283" w:right="0" w:hanging="283"/>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Descarga de dichas escenas. Las características del par interferométrico es la siguiente:</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ascii="Arial" w:hAnsi="Arial" w:cstheme="minorBidi"/>
          <w:color w:val="000000"/>
          <w:kern w:val="2"/>
          <w:lang w:val="en-US" w:eastAsia="en-US" w:bidi="ar-SA"/>
        </w:rPr>
        <w:t>Master: EOL1ASARSAO1A4616525 (Figura 2)</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ascii="Arial" w:hAnsi="Arial" w:cstheme="minorBidi"/>
          <w:color w:val="000000"/>
          <w:kern w:val="2"/>
          <w:lang w:val="en-US" w:eastAsia="en-US" w:bidi="ar-SA"/>
        </w:rPr>
        <w:t>Slave:   EOL1ASARSAO1A4492035 (Figura 3)</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cstheme="minorBidi" w:ascii="Arial" w:hAnsi="Arial"/>
          <w:color w:val="000000"/>
          <w:kern w:val="2"/>
          <w:lang w:val="en-US"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ascii="Arial" w:hAnsi="Arial" w:cstheme="minorBidi"/>
          <w:color w:val="000000"/>
          <w:kern w:val="2"/>
          <w:lang w:val="en-US" w:eastAsia="en-US" w:bidi="ar-SA"/>
        </w:rPr>
        <w:t>ROI: 225.26 Km 2</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ascii="Arial" w:hAnsi="Arial" w:cstheme="minorBidi"/>
          <w:color w:val="000000"/>
          <w:kern w:val="2"/>
          <w:lang w:val="en-US" w:eastAsia="en-US" w:bidi="ar-SA"/>
        </w:rPr>
        <w:t>Processing level: L1A</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ascii="Arial" w:hAnsi="Arial" w:cstheme="minorBidi"/>
          <w:color w:val="000000"/>
          <w:kern w:val="2"/>
          <w:lang w:val="en-US" w:eastAsia="en-US" w:bidi="ar-SA"/>
        </w:rPr>
        <w:t>Looking mode: Right</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ascii="Arial" w:hAnsi="Arial" w:cstheme="minorBidi"/>
          <w:color w:val="000000"/>
          <w:kern w:val="2"/>
          <w:lang w:val="en-US" w:eastAsia="en-US" w:bidi="ar-SA"/>
        </w:rPr>
        <w:t>Mode: Stripmap</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ascii="Arial" w:hAnsi="Arial" w:cstheme="minorBidi"/>
          <w:color w:val="000000"/>
          <w:kern w:val="2"/>
          <w:lang w:val="en-US" w:eastAsia="en-US" w:bidi="ar-SA"/>
        </w:rPr>
        <w:t>Interferometric: DPHHHV, SPHH</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Línea de base: 161 metros</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Línea de tiempo: 16 días</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 xml:space="preserve">En la Figura 4 se puede visualizar el análisis del par interferométrico que realiza </w:t>
      </w:r>
      <w:r>
        <w:rPr>
          <w:rFonts w:eastAsia="DejaVu Sans" w:cs="" w:ascii="Arial" w:hAnsi="Arial" w:cstheme="minorBidi"/>
          <w:color w:val="000000"/>
          <w:kern w:val="2"/>
          <w:lang w:eastAsia="en-US" w:bidi="ar-SA"/>
        </w:rPr>
        <w:t>una aplicaci</w:t>
      </w:r>
      <w:r>
        <w:rPr>
          <w:rFonts w:eastAsia="DejaVu Sans" w:cs="" w:ascii="Arial" w:hAnsi="Arial" w:cstheme="minorBidi"/>
          <w:color w:val="000000"/>
          <w:kern w:val="2"/>
          <w:sz w:val="24"/>
          <w:szCs w:val="24"/>
          <w:lang w:val="es-AR" w:eastAsia="en-US" w:bidi="ar-SA"/>
        </w:rPr>
        <w:t xml:space="preserve">ón para tal fin en el </w:t>
      </w:r>
      <w:r>
        <w:rPr>
          <w:rFonts w:eastAsia="DejaVu Sans" w:cs="" w:ascii="Arial" w:hAnsi="Arial" w:cstheme="minorBidi"/>
          <w:color w:val="000000"/>
          <w:kern w:val="2"/>
          <w:lang w:eastAsia="en-US" w:bidi="ar-SA"/>
        </w:rPr>
        <w:t>Catálogo de SAOCOM.</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ListParagraph"/>
        <w:widowControl/>
        <w:numPr>
          <w:ilvl w:val="0"/>
          <w:numId w:val="1"/>
        </w:numPr>
        <w:suppressAutoHyphens w:val="false"/>
        <w:bidi w:val="0"/>
        <w:spacing w:lineRule="auto" w:line="360" w:before="0" w:after="0"/>
        <w:ind w:left="283" w:right="0" w:hanging="283"/>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Luego se procede a recortar el área de interés de ambas escenas. Cabe destacar que al no disponer de una gran capacidad de procesamiento se ha trabajado sobre áreas reducidas.</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ListParagraph"/>
        <w:widowControl/>
        <w:numPr>
          <w:ilvl w:val="0"/>
          <w:numId w:val="1"/>
        </w:numPr>
        <w:suppressAutoHyphens w:val="false"/>
        <w:bidi w:val="0"/>
        <w:spacing w:lineRule="auto" w:line="360" w:before="0" w:after="0"/>
        <w:ind w:left="283" w:right="0" w:hanging="283"/>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 xml:space="preserve">El procedimiento sigue según el esquema de la figura 4, hasta obtener el producto final. Se detalla cada procesamiento y el software empleado en cada uno de ellos. Cabe destacar que se trata de software libre. </w:t>
      </w:r>
      <w:r>
        <w:rPr>
          <w:rFonts w:eastAsia="DejaVu Sans" w:cs="" w:ascii="Arial" w:hAnsi="Arial" w:cstheme="minorBidi"/>
          <w:color w:val="000000"/>
          <w:kern w:val="2"/>
          <w:lang w:eastAsia="en-US" w:bidi="ar-SA"/>
        </w:rPr>
        <w:t>A continuaci</w:t>
      </w:r>
      <w:r>
        <w:rPr>
          <w:rFonts w:eastAsia="DejaVu Sans" w:cs="" w:ascii="Arial" w:hAnsi="Arial" w:cstheme="minorBidi"/>
          <w:color w:val="000000"/>
          <w:kern w:val="2"/>
          <w:sz w:val="24"/>
          <w:szCs w:val="24"/>
          <w:lang w:val="es-AR" w:eastAsia="en-US" w:bidi="ar-SA"/>
        </w:rPr>
        <w:t>ón se detalla las aplicaciones empleadas:</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SNAP (Sentinel Applications Plataform) desarrollado por la Agencia Espacial Europea. Dichos desarrolladores han incorporado el formato de SAOCOM en sus versiones desde el año 2022.</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SNAPhu en un desarrollo basado en Linux especialmente diseñado para el proceso de “unwrapping” o desenrollado de fase, procedimiento esencial para obtener la topografía. Interferometry Group. Stanford University.</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QGIS es un desarrollo de sistema de información geográfica colaborativo de gran difusión en el estudio de imágenes de satélite. GNU/Linux.</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center"/>
        <w:textAlignment w:val="auto"/>
        <w:rPr>
          <w:rFonts w:ascii="Arial" w:hAnsi="Arial" w:eastAsia="DejaVu Sans" w:cs="" w:cstheme="minorBidi"/>
          <w:color w:val="000000"/>
          <w:kern w:val="2"/>
          <w:lang w:eastAsia="en-US" w:bidi="ar-SA"/>
        </w:rPr>
      </w:pPr>
      <w:r>
        <w:rPr/>
        <w:drawing>
          <wp:inline distT="0" distB="0" distL="0" distR="0">
            <wp:extent cx="4977765" cy="3173730"/>
            <wp:effectExtent l="0" t="0" r="0" b="0"/>
            <wp:docPr id="5"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 descr=""/>
                    <pic:cNvPicPr>
                      <a:picLocks noChangeAspect="1" noChangeArrowheads="1"/>
                    </pic:cNvPicPr>
                  </pic:nvPicPr>
                  <pic:blipFill>
                    <a:blip r:embed="rId6"/>
                    <a:srcRect l="24890" t="29883" r="28714" b="22786"/>
                    <a:stretch>
                      <a:fillRect/>
                    </a:stretch>
                  </pic:blipFill>
                  <pic:spPr bwMode="auto">
                    <a:xfrm>
                      <a:off x="0" y="0"/>
                      <a:ext cx="4977765" cy="3173730"/>
                    </a:xfrm>
                    <a:prstGeom prst="rect">
                      <a:avLst/>
                    </a:prstGeom>
                  </pic:spPr>
                </pic:pic>
              </a:graphicData>
            </a:graphic>
          </wp:inline>
        </w:drawing>
      </w:r>
      <w:r>
        <w:rPr>
          <w:rFonts w:eastAsia="DejaVu Sans" w:cs="" w:ascii="Arial" w:hAnsi="Arial" w:cstheme="minorBidi"/>
          <w:i w:val="false"/>
          <w:iCs w:val="false"/>
          <w:color w:val="000000"/>
          <w:kern w:val="2"/>
          <w:sz w:val="18"/>
          <w:szCs w:val="18"/>
          <w:lang w:eastAsia="en-US" w:bidi="ar-SA"/>
        </w:rPr>
        <w:t>Figura 5: Diagrama en bloques.</w:t>
      </w:r>
    </w:p>
    <w:p>
      <w:pPr>
        <w:pStyle w:val="Normal"/>
        <w:suppressAutoHyphens w:val="false"/>
        <w:spacing w:lineRule="auto" w:line="360" w:before="0" w:after="0"/>
        <w:contextualSpacing/>
        <w:jc w:val="center"/>
        <w:textAlignment w:val="auto"/>
        <w:rPr>
          <w:rFonts w:ascii="Arial" w:hAnsi="Arial" w:eastAsia="DejaVu Sans" w:cs="" w:cstheme="minorBidi"/>
          <w:color w:val="000000"/>
          <w:kern w:val="2"/>
          <w:lang w:eastAsia="en-US" w:bidi="ar-SA"/>
        </w:rPr>
      </w:pPr>
      <w:r>
        <w:rPr/>
      </w:r>
    </w:p>
    <w:p>
      <w:pPr>
        <w:pStyle w:val="Normal"/>
        <w:suppressAutoHyphens w:val="false"/>
        <w:spacing w:lineRule="auto" w:line="360" w:before="0" w:after="0"/>
        <w:contextualSpacing/>
        <w:jc w:val="both"/>
        <w:textAlignment w:val="auto"/>
        <w:rPr>
          <w:rFonts w:ascii="Arial" w:hAnsi="Arial" w:eastAsia="DejaVu Sans" w:cs="" w:cstheme="minorBidi"/>
          <w:b/>
          <w:b/>
          <w:color w:val="000000"/>
          <w:kern w:val="2"/>
          <w:lang w:eastAsia="en-US" w:bidi="ar-SA"/>
        </w:rPr>
      </w:pPr>
      <w:r>
        <w:rPr/>
        <w:drawing>
          <wp:inline distT="0" distB="0" distL="0" distR="0">
            <wp:extent cx="5011420" cy="3048635"/>
            <wp:effectExtent l="0" t="0" r="0" b="0"/>
            <wp:docPr id="6" name="Imagen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13" descr=""/>
                    <pic:cNvPicPr>
                      <a:picLocks noChangeAspect="1" noChangeArrowheads="1"/>
                    </pic:cNvPicPr>
                  </pic:nvPicPr>
                  <pic:blipFill>
                    <a:blip r:embed="rId7"/>
                    <a:srcRect l="3268" t="1743" r="7709" b="11599"/>
                    <a:stretch>
                      <a:fillRect/>
                    </a:stretch>
                  </pic:blipFill>
                  <pic:spPr bwMode="auto">
                    <a:xfrm>
                      <a:off x="0" y="0"/>
                      <a:ext cx="5011420" cy="3048635"/>
                    </a:xfrm>
                    <a:prstGeom prst="rect">
                      <a:avLst/>
                    </a:prstGeom>
                  </pic:spPr>
                </pic:pic>
              </a:graphicData>
            </a:graphic>
          </wp:inline>
        </w:drawing>
      </w:r>
    </w:p>
    <w:p>
      <w:pPr>
        <w:pStyle w:val="Normal"/>
        <w:suppressAutoHyphens w:val="false"/>
        <w:spacing w:lineRule="auto" w:line="360" w:before="0" w:after="0"/>
        <w:contextualSpacing/>
        <w:jc w:val="center"/>
        <w:textAlignment w:val="auto"/>
        <w:rPr>
          <w:sz w:val="18"/>
          <w:szCs w:val="18"/>
        </w:rPr>
      </w:pPr>
      <w:r>
        <w:rPr>
          <w:rFonts w:eastAsia="DejaVu Sans" w:cs="" w:ascii="Arial" w:hAnsi="Arial" w:cstheme="minorBidi"/>
          <w:i w:val="false"/>
          <w:iCs w:val="false"/>
          <w:color w:val="000000"/>
          <w:kern w:val="2"/>
          <w:sz w:val="18"/>
          <w:szCs w:val="18"/>
          <w:lang w:eastAsia="en-US" w:bidi="ar-SA"/>
        </w:rPr>
        <w:t>Figura 6: Interferograma del área de estudio.</w:t>
      </w:r>
    </w:p>
    <w:p>
      <w:pPr>
        <w:pStyle w:val="Normal"/>
        <w:suppressAutoHyphens w:val="false"/>
        <w:spacing w:lineRule="auto" w:line="360" w:before="0" w:after="0"/>
        <w:contextualSpacing/>
        <w:jc w:val="both"/>
        <w:textAlignment w:val="auto"/>
        <w:rPr>
          <w:rFonts w:ascii="Arial" w:hAnsi="Arial" w:eastAsia="DejaVu Sans" w:cs="" w:cstheme="minorBidi"/>
          <w:b/>
          <w:b/>
          <w:color w:val="000000"/>
          <w:kern w:val="2"/>
          <w:sz w:val="18"/>
          <w:szCs w:val="18"/>
          <w:lang w:eastAsia="en-US" w:bidi="ar-SA"/>
        </w:rPr>
      </w:pPr>
      <w:r>
        <w:rPr>
          <w:rFonts w:eastAsia="DejaVu Sans" w:cs="" w:cstheme="minorBidi" w:ascii="Arial" w:hAnsi="Arial"/>
          <w:b/>
          <w:color w:val="000000"/>
          <w:kern w:val="2"/>
          <w:sz w:val="18"/>
          <w:szCs w:val="18"/>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 xml:space="preserve">Al completar el procesamiento inicial de las escenas con el software SNAP (primer bloque del diagrama de la figura 5), obtenemos el interferograma (Figura 6). </w:t>
      </w:r>
    </w:p>
    <w:p>
      <w:pPr>
        <w:pStyle w:val="Normal"/>
        <w:suppressAutoHyphens w:val="false"/>
        <w:spacing w:lineRule="auto" w:line="360" w:before="0" w:after="0"/>
        <w:contextualSpacing/>
        <w:jc w:val="both"/>
        <w:textAlignment w:val="auto"/>
        <w:rPr>
          <w:rFonts w:ascii="Arial" w:hAnsi="Arial" w:eastAsia="DejaVu Sans" w:cs="" w:cstheme="minorBidi"/>
          <w:b/>
          <w:b/>
          <w:color w:val="000000"/>
          <w:kern w:val="2"/>
          <w:lang w:eastAsia="en-US" w:bidi="ar-SA"/>
        </w:rPr>
      </w:pPr>
      <w:r>
        <w:rPr>
          <w:rFonts w:eastAsia="DejaVu Sans" w:cs="" w:cstheme="minorBidi" w:ascii="Arial" w:hAnsi="Arial"/>
          <w:b/>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b/>
          <w:b/>
          <w:color w:val="000000"/>
          <w:kern w:val="2"/>
          <w:lang w:eastAsia="en-US" w:bidi="ar-SA"/>
        </w:rPr>
      </w:pPr>
      <w:r>
        <w:rPr>
          <w:rFonts w:eastAsia="DejaVu Sans" w:cs="" w:cstheme="minorBidi" w:ascii="Arial" w:hAnsi="Arial"/>
          <w:b/>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b/>
          <w:b/>
          <w:color w:val="000000"/>
          <w:kern w:val="2"/>
          <w:lang w:eastAsia="en-US" w:bidi="ar-SA"/>
        </w:rPr>
      </w:pPr>
      <w:r>
        <w:rPr/>
        <w:drawing>
          <wp:inline distT="0" distB="0" distL="0" distR="0">
            <wp:extent cx="4479925" cy="3037205"/>
            <wp:effectExtent l="0" t="0" r="0" b="0"/>
            <wp:docPr id="7" name="Imagen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9" descr=""/>
                    <pic:cNvPicPr>
                      <a:picLocks noChangeAspect="1" noChangeArrowheads="1"/>
                    </pic:cNvPicPr>
                  </pic:nvPicPr>
                  <pic:blipFill>
                    <a:blip r:embed="rId8"/>
                    <a:srcRect l="17732" t="22882" r="22339" b="12094"/>
                    <a:stretch>
                      <a:fillRect/>
                    </a:stretch>
                  </pic:blipFill>
                  <pic:spPr bwMode="auto">
                    <a:xfrm>
                      <a:off x="0" y="0"/>
                      <a:ext cx="4479925" cy="3037205"/>
                    </a:xfrm>
                    <a:prstGeom prst="rect">
                      <a:avLst/>
                    </a:prstGeom>
                  </pic:spPr>
                </pic:pic>
              </a:graphicData>
            </a:graphic>
          </wp:inline>
        </w:drawing>
      </w:r>
    </w:p>
    <w:p>
      <w:pPr>
        <w:pStyle w:val="Normal"/>
        <w:suppressAutoHyphens w:val="false"/>
        <w:spacing w:lineRule="auto" w:line="360" w:before="0" w:after="0"/>
        <w:contextualSpacing/>
        <w:jc w:val="center"/>
        <w:textAlignment w:val="auto"/>
        <w:rPr>
          <w:sz w:val="18"/>
          <w:szCs w:val="18"/>
        </w:rPr>
      </w:pPr>
      <w:r>
        <w:rPr>
          <w:rFonts w:eastAsia="DejaVu Sans" w:cs="" w:ascii="Arial" w:hAnsi="Arial" w:cstheme="minorBidi"/>
          <w:i w:val="false"/>
          <w:iCs w:val="false"/>
          <w:color w:val="000000"/>
          <w:kern w:val="2"/>
          <w:sz w:val="18"/>
          <w:szCs w:val="18"/>
          <w:lang w:eastAsia="en-US" w:bidi="ar-SA"/>
        </w:rPr>
        <w:t>Figura 7: Modelo Digital del Terreno in-SAR SAOCOM.</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Al final del procesamiento del tercer bloque (figura 5), se exporta el modelo del terreno en  el formato GeoTiff (Figura 7). El tamaño del pixel, o resolución espacial  es de 6.4 x 6.4 metros. En la figura 8 se observa un detalle del perfil de la quebrada.</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drawing>
          <wp:inline distT="0" distB="0" distL="0" distR="0">
            <wp:extent cx="4338955" cy="3074670"/>
            <wp:effectExtent l="0" t="0" r="0" b="0"/>
            <wp:docPr id="8" name="Imagen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10" descr=""/>
                    <pic:cNvPicPr>
                      <a:picLocks noChangeAspect="1" noChangeArrowheads="1"/>
                    </pic:cNvPicPr>
                  </pic:nvPicPr>
                  <pic:blipFill>
                    <a:blip r:embed="rId9"/>
                    <a:srcRect l="16793" t="20653" r="23890" b="12094"/>
                    <a:stretch>
                      <a:fillRect/>
                    </a:stretch>
                  </pic:blipFill>
                  <pic:spPr bwMode="auto">
                    <a:xfrm>
                      <a:off x="0" y="0"/>
                      <a:ext cx="4338955" cy="3074670"/>
                    </a:xfrm>
                    <a:prstGeom prst="rect">
                      <a:avLst/>
                    </a:prstGeom>
                  </pic:spPr>
                </pic:pic>
              </a:graphicData>
            </a:graphic>
          </wp:inline>
        </w:drawing>
      </w:r>
    </w:p>
    <w:p>
      <w:pPr>
        <w:pStyle w:val="Normal"/>
        <w:suppressAutoHyphens w:val="false"/>
        <w:spacing w:lineRule="auto" w:line="360" w:before="0" w:after="0"/>
        <w:contextualSpacing/>
        <w:jc w:val="center"/>
        <w:textAlignment w:val="auto"/>
        <w:rPr>
          <w:sz w:val="18"/>
          <w:szCs w:val="18"/>
        </w:rPr>
      </w:pPr>
      <w:r>
        <w:rPr>
          <w:rFonts w:eastAsia="DejaVu Sans" w:cs="" w:ascii="Arial" w:hAnsi="Arial" w:cstheme="minorBidi"/>
          <w:i w:val="false"/>
          <w:iCs w:val="false"/>
          <w:color w:val="000000"/>
          <w:kern w:val="2"/>
          <w:sz w:val="18"/>
          <w:szCs w:val="18"/>
          <w:lang w:eastAsia="en-US" w:bidi="ar-SA"/>
        </w:rPr>
        <w:t>Figura 8: Perfil de la Quebrada.</w:t>
      </w:r>
    </w:p>
    <w:p>
      <w:pPr>
        <w:pStyle w:val="Normal"/>
        <w:suppressAutoHyphens w:val="false"/>
        <w:spacing w:lineRule="auto" w:line="360" w:before="0" w:after="0"/>
        <w:contextualSpacing/>
        <w:jc w:val="center"/>
        <w:textAlignment w:val="auto"/>
        <w:rPr>
          <w:sz w:val="18"/>
          <w:szCs w:val="18"/>
        </w:rPr>
      </w:pPr>
      <w:r>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drawing>
          <wp:inline distT="0" distB="0" distL="0" distR="0">
            <wp:extent cx="4338955" cy="3051175"/>
            <wp:effectExtent l="0" t="0" r="0" b="0"/>
            <wp:docPr id="9" name="Imagen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1" descr=""/>
                    <pic:cNvPicPr>
                      <a:picLocks noChangeAspect="1" noChangeArrowheads="1"/>
                    </pic:cNvPicPr>
                  </pic:nvPicPr>
                  <pic:blipFill>
                    <a:blip r:embed="rId10"/>
                    <a:srcRect l="17423" t="21408" r="22793" b="11355"/>
                    <a:stretch>
                      <a:fillRect/>
                    </a:stretch>
                  </pic:blipFill>
                  <pic:spPr bwMode="auto">
                    <a:xfrm>
                      <a:off x="0" y="0"/>
                      <a:ext cx="4338955" cy="3051175"/>
                    </a:xfrm>
                    <a:prstGeom prst="rect">
                      <a:avLst/>
                    </a:prstGeom>
                  </pic:spPr>
                </pic:pic>
              </a:graphicData>
            </a:graphic>
          </wp:inline>
        </w:drawing>
      </w:r>
    </w:p>
    <w:p>
      <w:pPr>
        <w:pStyle w:val="Normal"/>
        <w:suppressAutoHyphens w:val="false"/>
        <w:spacing w:lineRule="auto" w:line="360" w:before="0" w:after="0"/>
        <w:contextualSpacing/>
        <w:jc w:val="center"/>
        <w:textAlignment w:val="auto"/>
        <w:rPr>
          <w:sz w:val="18"/>
          <w:szCs w:val="18"/>
        </w:rPr>
      </w:pPr>
      <w:r>
        <w:rPr>
          <w:rFonts w:eastAsia="DejaVu Sans" w:cs="" w:ascii="Arial" w:hAnsi="Arial" w:cstheme="minorBidi"/>
          <w:i w:val="false"/>
          <w:iCs w:val="false"/>
          <w:color w:val="000000"/>
          <w:kern w:val="2"/>
          <w:sz w:val="18"/>
          <w:szCs w:val="18"/>
          <w:lang w:eastAsia="en-US" w:bidi="ar-SA"/>
        </w:rPr>
        <w:t>Figura 9: Perfil de zona de baja pendiente.</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Al realizar un perfil en un área de pendiente muy baja, podemos observar que el modelo sin filtrado ni suavizado, alcanza una precisión de altura de 10 centímetros (figura 9).</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drawing>
          <wp:inline distT="0" distB="0" distL="0" distR="0">
            <wp:extent cx="4761230" cy="2961005"/>
            <wp:effectExtent l="0" t="0" r="0" b="0"/>
            <wp:docPr id="10" name="Imagen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2" descr=""/>
                    <pic:cNvPicPr>
                      <a:picLocks noChangeAspect="1" noChangeArrowheads="1"/>
                    </pic:cNvPicPr>
                  </pic:nvPicPr>
                  <pic:blipFill>
                    <a:blip r:embed="rId11"/>
                    <a:srcRect l="4976" t="20157" r="26696" b="11851"/>
                    <a:stretch>
                      <a:fillRect/>
                    </a:stretch>
                  </pic:blipFill>
                  <pic:spPr bwMode="auto">
                    <a:xfrm>
                      <a:off x="0" y="0"/>
                      <a:ext cx="4761230" cy="2961005"/>
                    </a:xfrm>
                    <a:prstGeom prst="rect">
                      <a:avLst/>
                    </a:prstGeom>
                  </pic:spPr>
                </pic:pic>
              </a:graphicData>
            </a:graphic>
          </wp:inline>
        </w:drawing>
      </w:r>
    </w:p>
    <w:p>
      <w:pPr>
        <w:pStyle w:val="Normal"/>
        <w:suppressAutoHyphens w:val="false"/>
        <w:spacing w:lineRule="auto" w:line="360" w:before="0" w:after="0"/>
        <w:contextualSpacing/>
        <w:jc w:val="center"/>
        <w:textAlignment w:val="auto"/>
        <w:rPr>
          <w:sz w:val="18"/>
          <w:szCs w:val="18"/>
        </w:rPr>
      </w:pPr>
      <w:r>
        <w:rPr>
          <w:rFonts w:eastAsia="DejaVu Sans" w:cs="" w:ascii="Arial" w:hAnsi="Arial" w:cstheme="minorBidi"/>
          <w:i w:val="false"/>
          <w:iCs w:val="false"/>
          <w:color w:val="000000"/>
          <w:kern w:val="2"/>
          <w:sz w:val="18"/>
          <w:szCs w:val="18"/>
          <w:lang w:eastAsia="en-US" w:bidi="ar-SA"/>
        </w:rPr>
        <w:t>Figura 10: Comparación de modelos.</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 xml:space="preserve">En la figura 10 se observa un corte que secciona la quebrada del río Lules, en el detalle del perfil observamos la ladera norte. En azul se observa el corte del MDT-REF, mientras que en rojo se muestra el perfil del producto generado con in-SAR SAOCOM. </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 xml:space="preserve">Resalta claramente </w:t>
      </w:r>
      <w:r>
        <w:rPr>
          <w:rFonts w:eastAsia="DejaVu Sans" w:cs="" w:ascii="Arial" w:hAnsi="Arial" w:cstheme="minorBidi"/>
          <w:color w:val="000000"/>
          <w:kern w:val="2"/>
          <w:lang w:eastAsia="en-US" w:bidi="ar-SA"/>
        </w:rPr>
        <w:t xml:space="preserve">el mayor detalle del producto </w:t>
      </w:r>
      <w:r>
        <w:rPr>
          <w:rFonts w:eastAsia="DejaVu Sans" w:cs="" w:ascii="Arial" w:hAnsi="Arial" w:cstheme="minorBidi"/>
          <w:color w:val="000000"/>
          <w:kern w:val="2"/>
          <w:lang w:eastAsia="en-US" w:bidi="ar-SA"/>
        </w:rPr>
        <w:t xml:space="preserve">in-SAR SAOCOM </w:t>
      </w:r>
      <w:r>
        <w:rPr>
          <w:rFonts w:eastAsia="DejaVu Sans" w:cs="" w:ascii="Arial" w:hAnsi="Arial" w:cstheme="minorBidi"/>
          <w:color w:val="000000"/>
          <w:kern w:val="2"/>
          <w:lang w:eastAsia="en-US" w:bidi="ar-SA"/>
        </w:rPr>
        <w:t>sobre el modelo de referencia.</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b/>
          <w:b/>
          <w:color w:val="000000"/>
          <w:kern w:val="2"/>
          <w:lang w:eastAsia="en-US" w:bidi="ar-SA"/>
        </w:rPr>
      </w:pPr>
      <w:r>
        <w:rPr>
          <w:rFonts w:eastAsia="DejaVu Sans" w:cs="" w:ascii="Arial" w:hAnsi="Arial" w:cstheme="minorBidi"/>
          <w:b/>
          <w:color w:val="000000"/>
          <w:kern w:val="2"/>
          <w:lang w:eastAsia="en-US" w:bidi="ar-SA"/>
        </w:rPr>
        <w:t>Consideraciones finales</w:t>
      </w:r>
    </w:p>
    <w:p>
      <w:pPr>
        <w:pStyle w:val="Normal"/>
        <w:suppressAutoHyphens w:val="false"/>
        <w:spacing w:lineRule="auto" w:line="360" w:before="0" w:after="0"/>
        <w:contextualSpacing/>
        <w:jc w:val="both"/>
        <w:textAlignment w:val="auto"/>
        <w:rPr>
          <w:rFonts w:ascii="Arial" w:hAnsi="Arial" w:eastAsia="DejaVu Sans" w:cs="" w:cstheme="minorBidi"/>
          <w:b/>
          <w:b/>
          <w:color w:val="000000"/>
          <w:kern w:val="2"/>
          <w:lang w:eastAsia="en-US" w:bidi="ar-SA"/>
        </w:rPr>
      </w:pPr>
      <w:r>
        <w:rPr>
          <w:rFonts w:eastAsia="DejaVu Sans" w:cs="" w:cstheme="minorBidi" w:ascii="Arial" w:hAnsi="Arial"/>
          <w:b/>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 xml:space="preserve">La gran ventaja de esta metodología es que permite realizar, en poco tiempo (debido a que se puede concretar con escenas de catálogo), el relevamiento de la topografía, con una buena exactitud y de una </w:t>
      </w:r>
      <w:r>
        <w:rPr>
          <w:rFonts w:eastAsia="DejaVu Sans" w:cs="" w:ascii="Arial" w:hAnsi="Arial" w:cstheme="minorBidi"/>
          <w:color w:val="000000"/>
          <w:kern w:val="2"/>
          <w:lang w:eastAsia="en-US" w:bidi="ar-SA"/>
        </w:rPr>
        <w:t>importante extensi</w:t>
      </w:r>
      <w:r>
        <w:rPr>
          <w:rFonts w:eastAsia="DejaVu Sans" w:cs="" w:ascii="Arial" w:hAnsi="Arial" w:cstheme="minorBidi"/>
          <w:color w:val="000000"/>
          <w:kern w:val="2"/>
          <w:sz w:val="24"/>
          <w:szCs w:val="24"/>
          <w:lang w:val="es-AR" w:eastAsia="en-US" w:bidi="ar-SA"/>
        </w:rPr>
        <w:t>ón de la</w:t>
      </w:r>
      <w:r>
        <w:rPr>
          <w:rFonts w:eastAsia="DejaVu Sans" w:cs="" w:ascii="Arial" w:hAnsi="Arial" w:cstheme="minorBidi"/>
          <w:color w:val="000000"/>
          <w:kern w:val="2"/>
          <w:lang w:eastAsia="en-US" w:bidi="ar-SA"/>
        </w:rPr>
        <w:t xml:space="preserve"> superficie.</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Este trabajo se encuentra enmarcado en el proyecto “Modelo de Elevación del Terreno del sur de la Provincia de Tucumán” convocado por CONAE  en el Anuncio de Oportunidad AO-DEM SAOCOM (2019-2022).</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Es necesario difundir estas técnicas de procesamiento a fin de aprovechar el gran potencial de la tecnología espacial argentina.</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b/>
          <w:b/>
          <w:color w:val="000000"/>
          <w:kern w:val="2"/>
          <w:lang w:eastAsia="en-US" w:bidi="ar-SA"/>
        </w:rPr>
      </w:pPr>
      <w:r>
        <w:rPr>
          <w:rFonts w:eastAsia="DejaVu Sans" w:cs="" w:ascii="Arial" w:hAnsi="Arial" w:cstheme="minorBidi"/>
          <w:b/>
          <w:color w:val="000000"/>
          <w:kern w:val="2"/>
          <w:lang w:eastAsia="en-US" w:bidi="ar-SA"/>
        </w:rPr>
        <w:t>Bibliografía</w:t>
      </w:r>
    </w:p>
    <w:p>
      <w:pPr>
        <w:pStyle w:val="Normal"/>
        <w:suppressAutoHyphens w:val="false"/>
        <w:spacing w:lineRule="auto" w:line="360" w:before="0" w:after="0"/>
        <w:contextualSpacing/>
        <w:jc w:val="both"/>
        <w:textAlignment w:val="auto"/>
        <w:rPr>
          <w:rFonts w:ascii="Arial" w:hAnsi="Arial" w:eastAsia="DejaVu Sans" w:cs="" w:cstheme="minorBidi"/>
          <w:b/>
          <w:b/>
          <w:color w:val="000000"/>
          <w:kern w:val="2"/>
          <w:lang w:eastAsia="en-US" w:bidi="ar-SA"/>
        </w:rPr>
      </w:pPr>
      <w:r>
        <w:rPr>
          <w:rFonts w:eastAsia="DejaVu Sans" w:cs="" w:cstheme="minorBidi" w:ascii="Arial" w:hAnsi="Arial"/>
          <w:b/>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ascii="Arial" w:hAnsi="Arial" w:cstheme="minorBidi"/>
          <w:color w:val="000000"/>
          <w:kern w:val="2"/>
          <w:lang w:val="en-US" w:eastAsia="en-US" w:bidi="ar-SA"/>
        </w:rPr>
        <w:t>ESA, 2007. InSAR Principles: Guidelines for SAR Interferometry. Processing and Interprtation.</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val="en-US" w:eastAsia="en-US" w:bidi="ar-SA"/>
        </w:rPr>
      </w:pPr>
      <w:r>
        <w:rPr>
          <w:rFonts w:eastAsia="DejaVu Sans" w:cs="" w:ascii="Arial" w:hAnsi="Arial" w:cstheme="minorBidi"/>
          <w:color w:val="000000"/>
          <w:kern w:val="2"/>
          <w:lang w:val="en-US" w:eastAsia="en-US" w:bidi="ar-SA"/>
        </w:rPr>
        <w:t>Zhong Lu, Hyung-Sup Jung, Lei Zhang, Wonjin Lee, Chang-Wook Lee, and Daniel Dzurisin, 2008. Digital elevation model generation from satellite interferometric synthetic aperture radar.</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ascii="Arial" w:hAnsi="Arial" w:cstheme="minorBidi"/>
          <w:color w:val="000000"/>
          <w:kern w:val="2"/>
          <w:lang w:eastAsia="en-US" w:bidi="ar-SA"/>
        </w:rPr>
        <w:t>CONAE, 2021. Manual de Usuario CATALOGO SAOCOM.</w:t>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Fonts w:eastAsia="DejaVu Sans" w:cs="" w:cstheme="minorBidi" w:ascii="Arial" w:hAnsi="Arial"/>
          <w:color w:val="000000"/>
          <w:kern w:val="2"/>
          <w:lang w:eastAsia="en-US" w:bidi="ar-SA"/>
        </w:rPr>
      </w:r>
    </w:p>
    <w:p>
      <w:pPr>
        <w:pStyle w:val="Normal"/>
        <w:suppressAutoHyphens w:val="false"/>
        <w:spacing w:lineRule="auto" w:line="360" w:before="0" w:after="0"/>
        <w:contextualSpacing/>
        <w:jc w:val="both"/>
        <w:textAlignment w:val="auto"/>
        <w:rPr>
          <w:rFonts w:ascii="Arial" w:hAnsi="Arial" w:eastAsia="DejaVu Sans" w:cs="" w:cstheme="minorBidi"/>
          <w:color w:val="000000"/>
          <w:kern w:val="2"/>
          <w:lang w:eastAsia="en-US" w:bidi="ar-SA"/>
        </w:rPr>
      </w:pPr>
      <w:r>
        <w:rPr/>
      </w:r>
    </w:p>
    <w:sectPr>
      <w:type w:val="nextPage"/>
      <w:pgSz w:w="11906" w:h="16838"/>
      <w:pgMar w:left="1984" w:right="1984" w:gutter="0" w:header="0" w:top="2835" w:footer="0" w:bottom="2835"/>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Times New Roman">
    <w:charset w:val="01"/>
    <w:family w:val="roman"/>
    <w:pitch w:val="variable"/>
  </w:font>
  <w:font w:name="Liberation Mono">
    <w:altName w:val="Courier New"/>
    <w:charset w:val="01"/>
    <w:family w:val="roman"/>
    <w:pitch w:val="variable"/>
  </w:font>
  <w:font w:name="Arial">
    <w:charset w:val="01"/>
    <w:family w:val="roman"/>
    <w:pitch w:val="variable"/>
  </w:font>
  <w:font w:name="Wingdings">
    <w:charset w:val="02"/>
    <w:family w:val="auto"/>
    <w:pitch w:val="default"/>
  </w:font>
  <w:font w:name="OpenSymbol">
    <w:altName w:val="Arial Unicode MS"/>
    <w:charset w:val="01"/>
    <w:family w:val="auto"/>
    <w:pitch w:val="variable"/>
  </w:font>
  <w:font w:name="Symbol">
    <w:charset w:val="02"/>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Wingdings" w:hAnsi="Wingdings" w:cs="Wingdings" w:hint="default"/>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
    <w:lvl w:ilvl="0">
      <w:start w:val="1"/>
      <w:numFmt w:val="bullet"/>
      <w:lvlText w:val=""/>
      <w:lvlJc w:val="left"/>
      <w:pPr>
        <w:tabs>
          <w:tab w:val="num" w:pos="1428"/>
        </w:tabs>
        <w:ind w:left="1428" w:hanging="360"/>
      </w:pPr>
      <w:rPr>
        <w:rFonts w:ascii="Wingdings" w:hAnsi="Wingdings" w:cs="Wingdings" w:hint="default"/>
      </w:rPr>
    </w:lvl>
    <w:lvl w:ilvl="1">
      <w:start w:val="1"/>
      <w:numFmt w:val="bullet"/>
      <w:lvlText w:val="◦"/>
      <w:lvlJc w:val="left"/>
      <w:pPr>
        <w:tabs>
          <w:tab w:val="num" w:pos="1788"/>
        </w:tabs>
        <w:ind w:left="1788" w:hanging="360"/>
      </w:pPr>
      <w:rPr>
        <w:rFonts w:ascii="OpenSymbol" w:hAnsi="OpenSymbol" w:cs="OpenSymbol" w:hint="default"/>
      </w:rPr>
    </w:lvl>
    <w:lvl w:ilvl="2">
      <w:start w:val="1"/>
      <w:numFmt w:val="bullet"/>
      <w:lvlText w:val="▪"/>
      <w:lvlJc w:val="left"/>
      <w:pPr>
        <w:tabs>
          <w:tab w:val="num" w:pos="2148"/>
        </w:tabs>
        <w:ind w:left="2148" w:hanging="360"/>
      </w:pPr>
      <w:rPr>
        <w:rFonts w:ascii="OpenSymbol" w:hAnsi="OpenSymbol" w:cs="OpenSymbol" w:hint="default"/>
      </w:rPr>
    </w:lvl>
    <w:lvl w:ilvl="3">
      <w:start w:val="1"/>
      <w:numFmt w:val="bullet"/>
      <w:lvlText w:val=""/>
      <w:lvlJc w:val="left"/>
      <w:pPr>
        <w:tabs>
          <w:tab w:val="num" w:pos="2508"/>
        </w:tabs>
        <w:ind w:left="2508" w:hanging="360"/>
      </w:pPr>
      <w:rPr>
        <w:rFonts w:ascii="Symbol" w:hAnsi="Symbol" w:cs="Symbol" w:hint="default"/>
      </w:rPr>
    </w:lvl>
    <w:lvl w:ilvl="4">
      <w:start w:val="1"/>
      <w:numFmt w:val="bullet"/>
      <w:lvlText w:val="◦"/>
      <w:lvlJc w:val="left"/>
      <w:pPr>
        <w:tabs>
          <w:tab w:val="num" w:pos="2868"/>
        </w:tabs>
        <w:ind w:left="2868" w:hanging="360"/>
      </w:pPr>
      <w:rPr>
        <w:rFonts w:ascii="OpenSymbol" w:hAnsi="OpenSymbol" w:cs="OpenSymbol" w:hint="default"/>
      </w:rPr>
    </w:lvl>
    <w:lvl w:ilvl="5">
      <w:start w:val="1"/>
      <w:numFmt w:val="bullet"/>
      <w:lvlText w:val="▪"/>
      <w:lvlJc w:val="left"/>
      <w:pPr>
        <w:tabs>
          <w:tab w:val="num" w:pos="3228"/>
        </w:tabs>
        <w:ind w:left="3228" w:hanging="360"/>
      </w:pPr>
      <w:rPr>
        <w:rFonts w:ascii="OpenSymbol" w:hAnsi="OpenSymbol" w:cs="OpenSymbol" w:hint="default"/>
      </w:rPr>
    </w:lvl>
    <w:lvl w:ilvl="6">
      <w:start w:val="1"/>
      <w:numFmt w:val="bullet"/>
      <w:lvlText w:val=""/>
      <w:lvlJc w:val="left"/>
      <w:pPr>
        <w:tabs>
          <w:tab w:val="num" w:pos="3588"/>
        </w:tabs>
        <w:ind w:left="3588" w:hanging="360"/>
      </w:pPr>
      <w:rPr>
        <w:rFonts w:ascii="Symbol" w:hAnsi="Symbol" w:cs="Symbol" w:hint="default"/>
      </w:rPr>
    </w:lvl>
    <w:lvl w:ilvl="7">
      <w:start w:val="1"/>
      <w:numFmt w:val="bullet"/>
      <w:lvlText w:val="◦"/>
      <w:lvlJc w:val="left"/>
      <w:pPr>
        <w:tabs>
          <w:tab w:val="num" w:pos="3948"/>
        </w:tabs>
        <w:ind w:left="3948" w:hanging="360"/>
      </w:pPr>
      <w:rPr>
        <w:rFonts w:ascii="OpenSymbol" w:hAnsi="OpenSymbol" w:cs="OpenSymbol" w:hint="default"/>
      </w:rPr>
    </w:lvl>
    <w:lvl w:ilvl="8">
      <w:start w:val="1"/>
      <w:numFmt w:val="bullet"/>
      <w:lvlText w:val="▪"/>
      <w:lvlJc w:val="left"/>
      <w:pPr>
        <w:tabs>
          <w:tab w:val="num" w:pos="4308"/>
        </w:tabs>
        <w:ind w:left="4308" w:hanging="360"/>
      </w:pPr>
      <w:rPr>
        <w:rFonts w:ascii="OpenSymbol" w:hAnsi="OpenSymbol" w:cs="OpenSymbol" w:hint="default"/>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88"/>
  <w:defaultTabStop w:val="709"/>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s-AR" w:eastAsia="zh-CN" w:bidi="hi-IN"/>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suppressAutoHyphens w:val="true"/>
      <w:bidi w:val="0"/>
      <w:spacing w:before="0" w:after="0"/>
      <w:jc w:val="left"/>
      <w:textAlignment w:val="baseline"/>
    </w:pPr>
    <w:rPr>
      <w:rFonts w:ascii="Liberation Serif" w:hAnsi="Liberation Serif" w:eastAsia="NSimSun" w:cs="Lucida Sans"/>
      <w:color w:val="auto"/>
      <w:kern w:val="2"/>
      <w:sz w:val="24"/>
      <w:szCs w:val="24"/>
      <w:lang w:val="es-AR" w:eastAsia="zh-CN" w:bidi="hi-IN"/>
    </w:rPr>
  </w:style>
  <w:style w:type="character" w:styleId="DefaultParagraphFont" w:default="1">
    <w:name w:val="Default Paragraph Font"/>
    <w:uiPriority w:val="1"/>
    <w:semiHidden/>
    <w:unhideWhenUsed/>
    <w:qFormat/>
    <w:rPr/>
  </w:style>
  <w:style w:type="character" w:styleId="PiedepginaCar" w:customStyle="1">
    <w:name w:val="Pie de página Car"/>
    <w:basedOn w:val="DefaultParagraphFont"/>
    <w:qFormat/>
    <w:rPr>
      <w:rFonts w:cs="Mangal"/>
      <w:szCs w:val="21"/>
    </w:rPr>
  </w:style>
  <w:style w:type="character" w:styleId="Vietas">
    <w:name w:val="Viñetas"/>
    <w:qFormat/>
    <w:rPr>
      <w:rFonts w:ascii="OpenSymbol" w:hAnsi="OpenSymbol" w:eastAsia="OpenSymbol" w:cs="OpenSymbol"/>
    </w:rPr>
  </w:style>
  <w:style w:type="paragraph" w:styleId="Ttulo" w:customStyle="1">
    <w:name w:val="Título"/>
    <w:basedOn w:val="Standard"/>
    <w:next w:val="Textbody"/>
    <w:qFormat/>
    <w:pPr>
      <w:keepNext w:val="true"/>
      <w:spacing w:before="240" w:after="120"/>
    </w:pPr>
    <w:rPr>
      <w:rFonts w:ascii="Liberation Sans" w:hAnsi="Liberation Sans" w:eastAsia="Microsoft YaHei"/>
      <w:sz w:val="28"/>
      <w:szCs w:val="28"/>
    </w:rPr>
  </w:style>
  <w:style w:type="paragraph" w:styleId="Cuerpodetexto">
    <w:name w:val="Body Text"/>
    <w:basedOn w:val="Normal"/>
    <w:pPr>
      <w:spacing w:lineRule="auto" w:line="276" w:before="0" w:after="140"/>
    </w:pPr>
    <w:rPr/>
  </w:style>
  <w:style w:type="paragraph" w:styleId="Lista">
    <w:name w:val="List"/>
    <w:basedOn w:val="Textbody"/>
    <w:pPr/>
    <w:rPr/>
  </w:style>
  <w:style w:type="paragraph" w:styleId="Leyenda">
    <w:name w:val="Caption"/>
    <w:basedOn w:val="Normal"/>
    <w:qFormat/>
    <w:pPr>
      <w:suppressLineNumbers/>
      <w:spacing w:before="120" w:after="120"/>
    </w:pPr>
    <w:rPr>
      <w:rFonts w:cs="Lohit Devanagari"/>
      <w:i/>
      <w:iCs/>
      <w:sz w:val="24"/>
      <w:szCs w:val="24"/>
    </w:rPr>
  </w:style>
  <w:style w:type="paragraph" w:styleId="Ndice" w:customStyle="1">
    <w:name w:val="Índice"/>
    <w:basedOn w:val="Standard"/>
    <w:qFormat/>
    <w:pPr>
      <w:suppressLineNumbers/>
    </w:pPr>
    <w:rPr/>
  </w:style>
  <w:style w:type="paragraph" w:styleId="Standard" w:customStyle="1">
    <w:name w:val="Standard"/>
    <w:qFormat/>
    <w:pPr>
      <w:widowControl/>
      <w:suppressAutoHyphens w:val="true"/>
      <w:bidi w:val="0"/>
      <w:spacing w:before="0" w:after="0"/>
      <w:jc w:val="left"/>
      <w:textAlignment w:val="baseline"/>
    </w:pPr>
    <w:rPr>
      <w:rFonts w:ascii="Liberation Serif" w:hAnsi="Liberation Serif" w:eastAsia="NSimSun" w:cs="Lucida Sans"/>
      <w:color w:val="auto"/>
      <w:kern w:val="2"/>
      <w:sz w:val="24"/>
      <w:szCs w:val="24"/>
      <w:lang w:val="es-AR" w:eastAsia="zh-CN" w:bidi="hi-IN"/>
    </w:rPr>
  </w:style>
  <w:style w:type="paragraph" w:styleId="Textbody" w:customStyle="1">
    <w:name w:val="Text body"/>
    <w:basedOn w:val="Standard"/>
    <w:qFormat/>
    <w:pPr>
      <w:spacing w:lineRule="auto" w:line="276" w:before="0" w:after="140"/>
    </w:pPr>
    <w:rPr/>
  </w:style>
  <w:style w:type="paragraph" w:styleId="Caption">
    <w:name w:val="caption"/>
    <w:basedOn w:val="Standard"/>
    <w:qFormat/>
    <w:pPr>
      <w:suppressLineNumbers/>
      <w:spacing w:before="120" w:after="120"/>
    </w:pPr>
    <w:rPr>
      <w:i/>
      <w:iCs/>
    </w:rPr>
  </w:style>
  <w:style w:type="paragraph" w:styleId="Tablanormal1" w:customStyle="1">
    <w:name w:val="Tabla normal1"/>
    <w:qFormat/>
    <w:pPr>
      <w:widowControl/>
      <w:suppressAutoHyphens w:val="true"/>
      <w:bidi w:val="0"/>
      <w:spacing w:before="0" w:after="0"/>
      <w:jc w:val="left"/>
      <w:textAlignment w:val="auto"/>
    </w:pPr>
    <w:rPr>
      <w:rFonts w:ascii="Times New Roman" w:hAnsi="Times New Roman" w:eastAsia="Times New Roman" w:cs="Times New Roman"/>
      <w:color w:val="auto"/>
      <w:kern w:val="2"/>
      <w:sz w:val="20"/>
      <w:szCs w:val="20"/>
      <w:lang w:val="en-US" w:eastAsia="en-US" w:bidi="ar-SA"/>
    </w:rPr>
  </w:style>
  <w:style w:type="paragraph" w:styleId="Cabeceraypie" w:customStyle="1">
    <w:name w:val="Cabecera y pie"/>
    <w:basedOn w:val="Standard"/>
    <w:qFormat/>
    <w:pPr>
      <w:suppressLineNumbers/>
      <w:tabs>
        <w:tab w:val="clear" w:pos="709"/>
        <w:tab w:val="center" w:pos="4819" w:leader="none"/>
        <w:tab w:val="right" w:pos="9638" w:leader="none"/>
      </w:tabs>
    </w:pPr>
    <w:rPr/>
  </w:style>
  <w:style w:type="paragraph" w:styleId="Cabecera">
    <w:name w:val="Header"/>
    <w:basedOn w:val="Cabeceraypie"/>
    <w:pPr/>
    <w:rPr/>
  </w:style>
  <w:style w:type="paragraph" w:styleId="Default" w:customStyle="1">
    <w:name w:val="Default"/>
    <w:qFormat/>
    <w:pPr>
      <w:widowControl/>
      <w:suppressAutoHyphens w:val="true"/>
      <w:bidi w:val="0"/>
      <w:spacing w:before="0" w:after="0"/>
      <w:jc w:val="left"/>
      <w:textAlignment w:val="auto"/>
    </w:pPr>
    <w:rPr>
      <w:rFonts w:ascii="Times New Roman" w:hAnsi="Times New Roman" w:eastAsia="Courier New" w:cs="Times New Roman"/>
      <w:color w:val="000000"/>
      <w:kern w:val="2"/>
      <w:sz w:val="24"/>
      <w:szCs w:val="24"/>
      <w:lang w:val="es-ES" w:eastAsia="es-ES" w:bidi="ar-SA"/>
    </w:rPr>
  </w:style>
  <w:style w:type="paragraph" w:styleId="ListParagraph">
    <w:name w:val="List Paragraph"/>
    <w:basedOn w:val="Standard"/>
    <w:uiPriority w:val="34"/>
    <w:qFormat/>
    <w:pPr>
      <w:ind w:left="708" w:hanging="0"/>
    </w:pPr>
    <w:rPr/>
  </w:style>
  <w:style w:type="paragraph" w:styleId="Textopreformateado" w:customStyle="1">
    <w:name w:val="Texto preformateado"/>
    <w:basedOn w:val="Standard"/>
    <w:qFormat/>
    <w:pPr/>
    <w:rPr>
      <w:rFonts w:ascii="Liberation Mono" w:hAnsi="Liberation Mono" w:cs="Liberation Mono"/>
      <w:sz w:val="20"/>
      <w:szCs w:val="20"/>
    </w:rPr>
  </w:style>
  <w:style w:type="paragraph" w:styleId="Piedepgina">
    <w:name w:val="Footer"/>
    <w:basedOn w:val="Normal"/>
    <w:pPr>
      <w:tabs>
        <w:tab w:val="clear" w:pos="709"/>
        <w:tab w:val="center" w:pos="4419" w:leader="none"/>
        <w:tab w:val="right" w:pos="8838" w:leader="none"/>
      </w:tabs>
    </w:pPr>
    <w:rPr>
      <w:rFonts w:cs="Mangal"/>
      <w:szCs w:val="21"/>
    </w:rPr>
  </w:style>
  <w:style w:type="paragraph" w:styleId="Cita">
    <w:name w:val="Cita"/>
    <w:basedOn w:val="Normal"/>
    <w:qFormat/>
    <w:pPr>
      <w:spacing w:before="0" w:after="283"/>
      <w:ind w:left="567" w:right="567" w:hanging="0"/>
    </w:pPr>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tif"/><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numbering" Target="numbering.xml"/><Relationship Id="rId13" Type="http://schemas.openxmlformats.org/officeDocument/2006/relationships/fontTable" Target="fontTable.xml"/><Relationship Id="rId14" Type="http://schemas.openxmlformats.org/officeDocument/2006/relationships/settings" Target="settings.xml"/><Relationship Id="rId15" Type="http://schemas.openxmlformats.org/officeDocument/2006/relationships/theme" Target="theme/theme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235</TotalTime>
  <Application>LibreOffice/7.3.7.2$Linux_X86_64 LibreOffice_project/30$Build-2</Application>
  <AppVersion>15.0000</AppVersion>
  <Pages>11</Pages>
  <Words>1337</Words>
  <Characters>7212</Characters>
  <CharactersWithSpaces>8497</CharactersWithSpaces>
  <Paragraphs>74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2024-05-16T19:42:00Z</dcterms:created>
  <dc:creator>UEDP-PC</dc:creator>
  <dc:description/>
  <dc:language>es-AR</dc:language>
  <cp:lastModifiedBy/>
  <dcterms:modified xsi:type="dcterms:W3CDTF">2024-05-17T14:56:22Z</dcterms:modified>
  <cp:revision>48</cp:revision>
  <dc:subject/>
  <dc:title/>
</cp:coreProperties>
</file>

<file path=docProps/custom.xml><?xml version="1.0" encoding="utf-8"?>
<Properties xmlns="http://schemas.openxmlformats.org/officeDocument/2006/custom-properties" xmlns:vt="http://schemas.openxmlformats.org/officeDocument/2006/docPropsVTypes"/>
</file>