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B69E10" w14:textId="77777777" w:rsidR="004034C6" w:rsidRDefault="006C59F2">
      <w:pPr>
        <w:pStyle w:val="Ttulo"/>
        <w:spacing w:after="0" w:line="240" w:lineRule="auto"/>
        <w:jc w:val="center"/>
        <w:rPr>
          <w:b/>
          <w:sz w:val="28"/>
          <w:szCs w:val="28"/>
        </w:rPr>
      </w:pPr>
      <w:bookmarkStart w:id="0" w:name="_b5fzmchkou9b" w:colFirst="0" w:colLast="0"/>
      <w:bookmarkEnd w:id="0"/>
      <w:r>
        <w:rPr>
          <w:b/>
          <w:sz w:val="28"/>
          <w:szCs w:val="28"/>
        </w:rPr>
        <w:t>Estimación de los alquileres para las principales ciudades de Córdoba utilizando información de IDECOR</w:t>
      </w:r>
    </w:p>
    <w:p w14:paraId="17DA9A31" w14:textId="77777777" w:rsidR="004034C6" w:rsidRDefault="004034C6">
      <w:pPr>
        <w:spacing w:line="240" w:lineRule="auto"/>
        <w:jc w:val="center"/>
      </w:pPr>
    </w:p>
    <w:p w14:paraId="3859FD21" w14:textId="77777777" w:rsidR="004034C6" w:rsidRDefault="006C59F2">
      <w:pPr>
        <w:spacing w:line="240" w:lineRule="auto"/>
        <w:jc w:val="center"/>
        <w:rPr>
          <w:vertAlign w:val="superscript"/>
        </w:rPr>
      </w:pPr>
      <w:proofErr w:type="spellStart"/>
      <w:r>
        <w:t>Cerino</w:t>
      </w:r>
      <w:proofErr w:type="spellEnd"/>
      <w:r>
        <w:t>, Rocío Mariel</w:t>
      </w:r>
      <w:r>
        <w:rPr>
          <w:vertAlign w:val="superscript"/>
        </w:rPr>
        <w:t>1</w:t>
      </w:r>
      <w:r>
        <w:t xml:space="preserve">; </w:t>
      </w:r>
      <w:proofErr w:type="spellStart"/>
      <w:r>
        <w:t>Caffaratti</w:t>
      </w:r>
      <w:proofErr w:type="spellEnd"/>
      <w:r>
        <w:t xml:space="preserve"> </w:t>
      </w:r>
      <w:proofErr w:type="spellStart"/>
      <w:r>
        <w:t>Donalisio</w:t>
      </w:r>
      <w:proofErr w:type="spellEnd"/>
      <w:r>
        <w:t>, Vania</w:t>
      </w:r>
      <w:r>
        <w:rPr>
          <w:vertAlign w:val="superscript"/>
        </w:rPr>
        <w:t>1</w:t>
      </w:r>
      <w:r>
        <w:t xml:space="preserve">; </w:t>
      </w:r>
      <w:proofErr w:type="spellStart"/>
      <w:r>
        <w:t>Llarrull</w:t>
      </w:r>
      <w:proofErr w:type="spellEnd"/>
      <w:r>
        <w:t>, Nadia</w:t>
      </w:r>
      <w:r>
        <w:rPr>
          <w:vertAlign w:val="superscript"/>
        </w:rPr>
        <w:t>1</w:t>
      </w:r>
      <w:r>
        <w:t>; Zavala, María Soledad</w:t>
      </w:r>
      <w:r>
        <w:rPr>
          <w:vertAlign w:val="superscript"/>
        </w:rPr>
        <w:t>2</w:t>
      </w:r>
      <w:r>
        <w:t xml:space="preserve">; </w:t>
      </w:r>
      <w:proofErr w:type="spellStart"/>
      <w:r>
        <w:t>Piumetto</w:t>
      </w:r>
      <w:proofErr w:type="spellEnd"/>
      <w:r>
        <w:t>, Mario Andrés</w:t>
      </w:r>
      <w:r>
        <w:rPr>
          <w:vertAlign w:val="superscript"/>
        </w:rPr>
        <w:t>1</w:t>
      </w:r>
      <w:r>
        <w:t>; Carranza, Juan Pablo</w:t>
      </w:r>
      <w:r>
        <w:rPr>
          <w:vertAlign w:val="superscript"/>
        </w:rPr>
        <w:t>1,3</w:t>
      </w:r>
    </w:p>
    <w:p w14:paraId="6F509EB9" w14:textId="77777777" w:rsidR="004034C6" w:rsidRDefault="006C59F2">
      <w:pPr>
        <w:spacing w:line="240" w:lineRule="auto"/>
        <w:jc w:val="center"/>
        <w:rPr>
          <w:sz w:val="18"/>
          <w:szCs w:val="18"/>
        </w:rPr>
      </w:pPr>
      <w:r>
        <w:t xml:space="preserve"> </w:t>
      </w:r>
    </w:p>
    <w:p w14:paraId="02E600D8" w14:textId="77777777" w:rsidR="004034C6" w:rsidRDefault="006C59F2">
      <w:pPr>
        <w:spacing w:line="240" w:lineRule="auto"/>
        <w:jc w:val="center"/>
        <w:rPr>
          <w:color w:val="0000FF"/>
        </w:rPr>
      </w:pPr>
      <w:r>
        <w:rPr>
          <w:vertAlign w:val="superscript"/>
        </w:rPr>
        <w:t>1</w:t>
      </w:r>
      <w:r>
        <w:t xml:space="preserve"> IDECOR, Infraestructura de Datos Espaciales de la Provincia de Córdoba.</w:t>
      </w:r>
    </w:p>
    <w:p w14:paraId="4CBB05A8" w14:textId="77777777" w:rsidR="004034C6" w:rsidRDefault="006C59F2">
      <w:pPr>
        <w:spacing w:line="240" w:lineRule="auto"/>
        <w:jc w:val="center"/>
        <w:rPr>
          <w:color w:val="0000FF"/>
        </w:rPr>
      </w:pPr>
      <w:r>
        <w:rPr>
          <w:vertAlign w:val="superscript"/>
        </w:rPr>
        <w:t>2</w:t>
      </w:r>
      <w:r>
        <w:t xml:space="preserve"> Dirección General de Catastro de la Provincia de Córdoba.</w:t>
      </w:r>
    </w:p>
    <w:p w14:paraId="3DD4D7CC" w14:textId="77777777" w:rsidR="004034C6" w:rsidRDefault="006C59F2">
      <w:pPr>
        <w:spacing w:line="240" w:lineRule="auto"/>
        <w:jc w:val="center"/>
      </w:pPr>
      <w:r>
        <w:rPr>
          <w:vertAlign w:val="superscript"/>
        </w:rPr>
        <w:t>3</w:t>
      </w:r>
      <w:r>
        <w:t xml:space="preserve"> IIFAP, Instituto de Investigación y Formación en Administración Pública de la Facultad de Ciencias Sociales, Universidad Nacional de Córdoba.</w:t>
      </w:r>
    </w:p>
    <w:p w14:paraId="29678ED1" w14:textId="77777777" w:rsidR="004034C6" w:rsidRPr="00453EB4" w:rsidRDefault="004034C6">
      <w:pPr>
        <w:spacing w:line="240" w:lineRule="auto"/>
        <w:jc w:val="center"/>
        <w:rPr>
          <w:sz w:val="16"/>
          <w:szCs w:val="16"/>
        </w:rPr>
      </w:pPr>
    </w:p>
    <w:p w14:paraId="04DEBC60" w14:textId="77777777" w:rsidR="004034C6" w:rsidRDefault="006C59F2">
      <w:pPr>
        <w:spacing w:line="240" w:lineRule="auto"/>
        <w:jc w:val="center"/>
      </w:pPr>
      <w:r>
        <w:t xml:space="preserve">Email: </w:t>
      </w:r>
      <w:r>
        <w:rPr>
          <w:rFonts w:ascii="Cardo" w:eastAsia="Cardo" w:hAnsi="Cardo" w:cs="Cardo"/>
        </w:rPr>
        <w:t>⦃</w:t>
      </w:r>
      <w:hyperlink r:id="rId7">
        <w:r>
          <w:t>rociomcerino</w:t>
        </w:r>
      </w:hyperlink>
      <w:r>
        <w:t xml:space="preserve">, </w:t>
      </w:r>
      <w:hyperlink r:id="rId8">
        <w:r>
          <w:t>vaniacaffaratti</w:t>
        </w:r>
      </w:hyperlink>
      <w:r>
        <w:t xml:space="preserve">, </w:t>
      </w:r>
      <w:hyperlink r:id="rId9">
        <w:r>
          <w:t xml:space="preserve">arqzavala, </w:t>
        </w:r>
      </w:hyperlink>
      <w:hyperlink r:id="rId10">
        <w:r>
          <w:t>carranzajuanp</w:t>
        </w:r>
      </w:hyperlink>
      <w:r>
        <w:rPr>
          <w:rFonts w:ascii="Cardo" w:eastAsia="Cardo" w:hAnsi="Cardo" w:cs="Cardo"/>
        </w:rPr>
        <w:t>⦄</w:t>
      </w:r>
      <w:hyperlink r:id="rId11">
        <w:r>
          <w:t>@gmail.com</w:t>
        </w:r>
      </w:hyperlink>
      <w:r>
        <w:t xml:space="preserve">; </w:t>
      </w:r>
      <w:hyperlink r:id="rId12">
        <w:r>
          <w:t>nadia_llarrull@hotmail.com</w:t>
        </w:r>
      </w:hyperlink>
      <w:r>
        <w:t xml:space="preserve">; </w:t>
      </w:r>
      <w:hyperlink r:id="rId13">
        <w:r>
          <w:t>mpiumetto@yahoo.com.ar</w:t>
        </w:r>
      </w:hyperlink>
    </w:p>
    <w:p w14:paraId="6FED572F" w14:textId="77777777" w:rsidR="004034C6" w:rsidRDefault="004034C6" w:rsidP="00453EB4">
      <w:pPr>
        <w:pBdr>
          <w:top w:val="nil"/>
          <w:left w:val="nil"/>
          <w:bottom w:val="nil"/>
          <w:right w:val="nil"/>
          <w:between w:val="nil"/>
        </w:pBdr>
        <w:spacing w:line="240" w:lineRule="auto"/>
        <w:ind w:left="700" w:right="700"/>
        <w:jc w:val="both"/>
        <w:rPr>
          <w:b/>
        </w:rPr>
      </w:pPr>
    </w:p>
    <w:p w14:paraId="7F369BA2" w14:textId="77777777" w:rsidR="004034C6" w:rsidRDefault="004034C6" w:rsidP="00453EB4">
      <w:pPr>
        <w:spacing w:line="240" w:lineRule="auto"/>
        <w:jc w:val="both"/>
        <w:rPr>
          <w:highlight w:val="yellow"/>
        </w:rPr>
      </w:pPr>
    </w:p>
    <w:p w14:paraId="6CFD95E7" w14:textId="77777777" w:rsidR="004034C6" w:rsidRDefault="006C59F2" w:rsidP="00453EB4">
      <w:pPr>
        <w:spacing w:line="240" w:lineRule="auto"/>
        <w:jc w:val="both"/>
        <w:rPr>
          <w:sz w:val="24"/>
          <w:szCs w:val="24"/>
        </w:rPr>
      </w:pPr>
      <w:r>
        <w:rPr>
          <w:sz w:val="24"/>
          <w:szCs w:val="24"/>
        </w:rPr>
        <w:t xml:space="preserve"> </w:t>
      </w:r>
    </w:p>
    <w:p w14:paraId="576CA917" w14:textId="77777777" w:rsidR="004034C6" w:rsidRDefault="006C59F2">
      <w:pPr>
        <w:spacing w:line="240" w:lineRule="auto"/>
        <w:ind w:left="700" w:right="700"/>
        <w:jc w:val="both"/>
      </w:pPr>
      <w:r>
        <w:rPr>
          <w:b/>
        </w:rPr>
        <w:t>Resumen:</w:t>
      </w:r>
      <w:r>
        <w:t xml:space="preserve"> Se describe la metodología empleada para la predicción de valores de alquileres por metro cuadrado para más de 600.000 inmuebles de las cinco principales ciudades de la Provincia de Córdoba utilizando métodos de econometría espacial y de aprendizaje computacional o Machine </w:t>
      </w:r>
      <w:proofErr w:type="spellStart"/>
      <w:r>
        <w:t>Learning</w:t>
      </w:r>
      <w:proofErr w:type="spellEnd"/>
      <w:r>
        <w:t>. La iniciativa se basó en la utilización de software libre y la premisa de la publicación y apertura de la información en la Infraestructura de Datos Espaciales de la Provincia de Córdoba (IDECOR), buscando dar mayor transparencia al funcionamiento de los mercados inmobiliarios.</w:t>
      </w:r>
    </w:p>
    <w:p w14:paraId="7E9FC007" w14:textId="77777777" w:rsidR="004034C6" w:rsidRDefault="006C59F2">
      <w:pPr>
        <w:spacing w:line="240" w:lineRule="auto"/>
        <w:ind w:left="700" w:right="700"/>
        <w:jc w:val="both"/>
      </w:pPr>
      <w:r>
        <w:t xml:space="preserve"> </w:t>
      </w:r>
    </w:p>
    <w:p w14:paraId="5196C33B" w14:textId="77777777" w:rsidR="004034C6" w:rsidRDefault="006C59F2">
      <w:pPr>
        <w:spacing w:line="240" w:lineRule="auto"/>
        <w:ind w:left="700" w:right="700"/>
        <w:jc w:val="both"/>
      </w:pPr>
      <w:r>
        <w:rPr>
          <w:b/>
        </w:rPr>
        <w:t>Palabras Claves:</w:t>
      </w:r>
      <w:r>
        <w:t xml:space="preserve"> IDE, Alquileres urbanos, Aprendizaje Computacional.</w:t>
      </w:r>
    </w:p>
    <w:p w14:paraId="1FCC7D7C" w14:textId="0F3E7483" w:rsidR="004034C6" w:rsidRDefault="004034C6">
      <w:pPr>
        <w:spacing w:line="240" w:lineRule="auto"/>
        <w:ind w:right="1234" w:firstLine="1559"/>
        <w:jc w:val="both"/>
        <w:rPr>
          <w:sz w:val="24"/>
          <w:szCs w:val="24"/>
        </w:rPr>
      </w:pPr>
    </w:p>
    <w:p w14:paraId="6A088BA5" w14:textId="77777777" w:rsidR="00453EB4" w:rsidRPr="00453EB4" w:rsidRDefault="00453EB4">
      <w:pPr>
        <w:spacing w:line="240" w:lineRule="auto"/>
        <w:ind w:right="1234" w:firstLine="1559"/>
        <w:jc w:val="both"/>
        <w:rPr>
          <w:sz w:val="24"/>
          <w:szCs w:val="24"/>
        </w:rPr>
      </w:pPr>
    </w:p>
    <w:p w14:paraId="02F6C9BA" w14:textId="508E7B75" w:rsidR="004034C6" w:rsidRPr="00453EB4" w:rsidRDefault="00453EB4">
      <w:pPr>
        <w:pStyle w:val="Ttulo1"/>
        <w:numPr>
          <w:ilvl w:val="0"/>
          <w:numId w:val="2"/>
        </w:numPr>
        <w:spacing w:before="0" w:after="0" w:line="240" w:lineRule="auto"/>
        <w:jc w:val="both"/>
        <w:rPr>
          <w:b/>
          <w:sz w:val="22"/>
          <w:szCs w:val="22"/>
        </w:rPr>
      </w:pPr>
      <w:r w:rsidRPr="00453EB4">
        <w:rPr>
          <w:b/>
          <w:sz w:val="22"/>
          <w:szCs w:val="22"/>
        </w:rPr>
        <w:t>Introducción</w:t>
      </w:r>
    </w:p>
    <w:p w14:paraId="50A5A994" w14:textId="77777777" w:rsidR="004034C6" w:rsidRPr="00453EB4" w:rsidRDefault="004034C6">
      <w:pPr>
        <w:spacing w:line="240" w:lineRule="auto"/>
        <w:jc w:val="both"/>
        <w:rPr>
          <w:sz w:val="24"/>
          <w:szCs w:val="24"/>
        </w:rPr>
      </w:pPr>
    </w:p>
    <w:p w14:paraId="7E6777C5" w14:textId="229B3DF4" w:rsidR="004034C6" w:rsidRDefault="006C59F2">
      <w:pPr>
        <w:spacing w:line="240" w:lineRule="auto"/>
        <w:jc w:val="both"/>
      </w:pPr>
      <w:r>
        <w:t xml:space="preserve">Conocer el valor y comportamiento del mercado de alquileres es de gran importancia para la gestión urbana. Sin embargo, su estudio y modelado constituye un desafío en sí mismo, por la escala de trabajo, el comportamiento espacial, la naturaleza del fenómeno bajo estudio y la complejidad inherente al proceso. Más aún en un contexto de elevada inflación y alteraciones del marco normativo del sector (por </w:t>
      </w:r>
      <w:r w:rsidR="000466C0">
        <w:t>ejemplo,</w:t>
      </w:r>
      <w:r>
        <w:t xml:space="preserve"> las modificaciones de la Ley 27.551), como los experimentados en Argentina durante los últimos años. En este sentido, la iniciativa emprendida por IDECOR para estimar de manera masiva el valor de los alquileres urbanos en las principales ciudades de la Provincia de Córdoba, con </w:t>
      </w:r>
      <w:r>
        <w:lastRenderedPageBreak/>
        <w:t xml:space="preserve">diferentes fines y aplicaciones, es un proyecto innovador en nuestro país y la región. </w:t>
      </w:r>
    </w:p>
    <w:p w14:paraId="626AABB6" w14:textId="77777777" w:rsidR="004034C6" w:rsidRDefault="004034C6">
      <w:pPr>
        <w:spacing w:line="240" w:lineRule="auto"/>
        <w:jc w:val="both"/>
      </w:pPr>
    </w:p>
    <w:p w14:paraId="314A5BBB" w14:textId="77777777" w:rsidR="004034C6" w:rsidRDefault="006C59F2">
      <w:pPr>
        <w:spacing w:line="240" w:lineRule="auto"/>
        <w:jc w:val="both"/>
      </w:pPr>
      <w:r>
        <w:t>El objetivo del trabajo fue predecir el valor de alquileres mensuales en las ciudades de Córdoba, Río Cuarto, Villa María, San Francisco y Villa Carlos Paz a partir de una muestra de mercado de inmuebles en alquiler de diferentes características, conformada por 4.084 observaciones relevadas por el Observatorio del Mercado Inmobiliario (OMI)</w:t>
      </w:r>
      <w:r>
        <w:rPr>
          <w:vertAlign w:val="superscript"/>
        </w:rPr>
        <w:footnoteReference w:id="1"/>
      </w:r>
      <w:r>
        <w:t xml:space="preserve">. Se aplicaron técnicas de aprendizaje computacional (machine </w:t>
      </w:r>
      <w:proofErr w:type="spellStart"/>
      <w:r>
        <w:t>learning</w:t>
      </w:r>
      <w:proofErr w:type="spellEnd"/>
      <w:r>
        <w:t xml:space="preserve">) con el propósito de predecir el valor por metro cuadrado del alquiler en más de 600.000 inmuebles en las ciudades antes mencionadas. </w:t>
      </w:r>
    </w:p>
    <w:p w14:paraId="0CADDD05" w14:textId="77777777" w:rsidR="004034C6" w:rsidRDefault="004034C6">
      <w:pPr>
        <w:spacing w:line="240" w:lineRule="auto"/>
        <w:jc w:val="both"/>
      </w:pPr>
    </w:p>
    <w:p w14:paraId="0504B241" w14:textId="77777777" w:rsidR="004034C6" w:rsidRDefault="006C59F2">
      <w:pPr>
        <w:spacing w:line="240" w:lineRule="auto"/>
        <w:jc w:val="both"/>
      </w:pPr>
      <w:r>
        <w:t>La predicción se realizó utilizando información de IDECOR, la infraestructura de datos espaciales (IDE) de la Provincia de Córdoba, que integra al sector público, la academia y el sector privado con el propósito de ser una herramienta relevante para la mejora en la gestión de las políticas públicas vinculadas al territorio y la promoción del desarrollo económico y social.</w:t>
      </w:r>
    </w:p>
    <w:p w14:paraId="20372C40" w14:textId="77777777" w:rsidR="004034C6" w:rsidRDefault="004034C6">
      <w:pPr>
        <w:spacing w:line="240" w:lineRule="auto"/>
        <w:jc w:val="both"/>
      </w:pPr>
    </w:p>
    <w:p w14:paraId="7FA95568" w14:textId="05231DA3" w:rsidR="004034C6" w:rsidRDefault="006C59F2">
      <w:pPr>
        <w:spacing w:line="240" w:lineRule="auto"/>
        <w:jc w:val="both"/>
      </w:pPr>
      <w:r>
        <w:t xml:space="preserve">Al igual que el resto de los proyectos emprendidos por IDECOR, la iniciativa se basó en la utilización de software libre y la premisa de la publicación y apertura de la información, buscando dar mayor transparencia al funcionamiento de los mercados inmobiliarios. El objetivo de este trabajo fue generar información espacial de calidad y única en su clase para que luego esté disponible para su consulta </w:t>
      </w:r>
      <w:proofErr w:type="spellStart"/>
      <w:r>
        <w:t>on</w:t>
      </w:r>
      <w:proofErr w:type="spellEnd"/>
      <w:r>
        <w:t xml:space="preserve"> line (como mapa), consumirse vía </w:t>
      </w:r>
      <w:proofErr w:type="spellStart"/>
      <w:r>
        <w:t>webservice</w:t>
      </w:r>
      <w:proofErr w:type="spellEnd"/>
      <w:r>
        <w:t xml:space="preserve"> y descargarse en forma completa para que los datos puedan ser utilizados por cualquier tipo de usuario en todo tipo de aplicaciones. Este trabajo tiene como insumo y como producto información geoespacial de calidad, generada y puesta a disposición para todos los actores de la sociedad. </w:t>
      </w:r>
    </w:p>
    <w:p w14:paraId="2F34996F" w14:textId="0FEEF90A" w:rsidR="00453EB4" w:rsidRDefault="00453EB4">
      <w:pPr>
        <w:spacing w:line="240" w:lineRule="auto"/>
        <w:jc w:val="both"/>
      </w:pPr>
    </w:p>
    <w:p w14:paraId="1E3E85E6" w14:textId="77777777" w:rsidR="004034C6" w:rsidRDefault="004034C6">
      <w:pPr>
        <w:spacing w:line="240" w:lineRule="auto"/>
        <w:jc w:val="both"/>
        <w:rPr>
          <w:b/>
        </w:rPr>
      </w:pPr>
    </w:p>
    <w:p w14:paraId="5FA379A2" w14:textId="70C6A1EA" w:rsidR="004034C6" w:rsidRDefault="006C59F2">
      <w:pPr>
        <w:pStyle w:val="Ttulo1"/>
        <w:numPr>
          <w:ilvl w:val="0"/>
          <w:numId w:val="2"/>
        </w:numPr>
        <w:spacing w:before="0" w:after="0" w:line="240" w:lineRule="auto"/>
        <w:jc w:val="both"/>
        <w:rPr>
          <w:b/>
        </w:rPr>
      </w:pPr>
      <w:bookmarkStart w:id="1" w:name="_wee0plj1in0n" w:colFirst="0" w:colLast="0"/>
      <w:bookmarkEnd w:id="1"/>
      <w:r>
        <w:rPr>
          <w:b/>
          <w:sz w:val="22"/>
          <w:szCs w:val="22"/>
        </w:rPr>
        <w:t>M</w:t>
      </w:r>
      <w:r w:rsidR="00453EB4">
        <w:rPr>
          <w:b/>
          <w:sz w:val="22"/>
          <w:szCs w:val="22"/>
        </w:rPr>
        <w:t>uestra de mercado</w:t>
      </w:r>
    </w:p>
    <w:p w14:paraId="1D7E14B8" w14:textId="77777777" w:rsidR="004034C6" w:rsidRPr="00453EB4" w:rsidRDefault="004034C6">
      <w:pPr>
        <w:spacing w:line="240" w:lineRule="auto"/>
        <w:jc w:val="both"/>
        <w:rPr>
          <w:sz w:val="24"/>
          <w:szCs w:val="24"/>
        </w:rPr>
      </w:pPr>
    </w:p>
    <w:p w14:paraId="08ED9AA8" w14:textId="77777777" w:rsidR="004034C6" w:rsidRDefault="006C59F2">
      <w:pPr>
        <w:spacing w:line="240" w:lineRule="auto"/>
        <w:jc w:val="both"/>
      </w:pPr>
      <w:r>
        <w:t xml:space="preserve">Con el objeto de estudiar las dinámicas de desarrollo y particularidades del mercado de alquileres urbanos se relevaron datos en las localidades de Córdoba, Río Cuarto, Villa María, Villa Carlos Paz y San Francisco. Este relevamiento se realizó a través del OMI de IDECOR, y consistió en 4.084 datos recolectados desde 2019 hasta 2021. El relevamiento se realizó con la participación del equipo de Relevamiento de Mercado Inmobiliario de IDECOR y equipos técnicos de las municipalidades de Córdoba, Río Cuarto, Villa María y Villa Carlos Paz. Todos los </w:t>
      </w:r>
      <w:r>
        <w:lastRenderedPageBreak/>
        <w:t xml:space="preserve">datos proceden de distintas fuentes, como portales de páginas web comerciales, relevamientos in situ y tasaciones ad hoc realizados por profesionales y conocedores del mercado del equipo de IDECOR (valor de alquiler de referencia - VAR). </w:t>
      </w:r>
    </w:p>
    <w:p w14:paraId="1E52E145" w14:textId="77777777" w:rsidR="004034C6" w:rsidRDefault="004034C6">
      <w:pPr>
        <w:spacing w:line="240" w:lineRule="auto"/>
        <w:jc w:val="both"/>
      </w:pPr>
    </w:p>
    <w:p w14:paraId="6C98DD6B" w14:textId="77777777" w:rsidR="004034C6" w:rsidRDefault="006C59F2">
      <w:pPr>
        <w:spacing w:line="240" w:lineRule="auto"/>
        <w:jc w:val="both"/>
      </w:pPr>
      <w:r>
        <w:t>Se definió el objetivo de relevar y sistematizar la mayor cantidad de datos disponibles distribuidos de la mejor y más amplia manera posible sobre las localidades seleccionadas. Con el fin de reflejar lo más fielmente posible el comportamiento del fenómeno, se controlaron estándares de calidad preestablecidos para el posterior procesamiento y homogeneización de los mismos. Estos estándares están apuntados a características intrínsecas de inmueble como lo son: la superficie edificada o propia (para el caso de inmuebles en Propiedad Horizontal - PH), valor de la oferta de alquiler, valor de la expensa, nomenclatura de la parcela, fecha de toma del valor, frente de la parcela, estado de conservación, categoría constructiva, antigüedad de edificación y ubicación en cuadra (para los no PH). En este sentido, se recolectó información de los tipos de inmuebles Edificados en formato Propiedad Horizontal - PH y Edificados comunes. En el relevamiento de datos se incluyó también características extrínsecas que no afectan al estudio del valor, como lo es la fuente de información, la dirección, entre otras.</w:t>
      </w:r>
    </w:p>
    <w:p w14:paraId="3F734B68" w14:textId="77777777" w:rsidR="004034C6" w:rsidRDefault="004034C6">
      <w:pPr>
        <w:spacing w:line="240" w:lineRule="auto"/>
        <w:jc w:val="both"/>
      </w:pPr>
    </w:p>
    <w:p w14:paraId="4520A03C" w14:textId="77777777" w:rsidR="004034C6" w:rsidRDefault="006C59F2">
      <w:pPr>
        <w:spacing w:line="240" w:lineRule="auto"/>
        <w:jc w:val="both"/>
      </w:pPr>
      <w:r>
        <w:t>El control de la información se realizó de manera sistematizada y con base del parcelario de la Dirección General de Catastro de la Provincia de Córdoba. Si bien ciertas características cualitativas de cada oferta no se pueden cotejar de esta manera, información como nomenclatura de la parcela, superficies, estados de edificación, puntaje, antigüedad es información que puede extraerse y contrastarse y, en caso de ser necesario, corregir o desechar el dato, evitando así discrepancias y errores.</w:t>
      </w:r>
    </w:p>
    <w:p w14:paraId="0FAFF444" w14:textId="77777777" w:rsidR="004034C6" w:rsidRDefault="004034C6">
      <w:pPr>
        <w:spacing w:line="240" w:lineRule="auto"/>
        <w:jc w:val="both"/>
      </w:pPr>
    </w:p>
    <w:p w14:paraId="6C3A9FB4" w14:textId="77777777" w:rsidR="004034C6" w:rsidRDefault="006C59F2">
      <w:pPr>
        <w:spacing w:line="240" w:lineRule="auto"/>
        <w:jc w:val="both"/>
      </w:pPr>
      <w:r>
        <w:t xml:space="preserve">Del total de datos de mercado de alquileres mensuales relevados, el 81% corresponde a la Ciudad de Córdoba, 7% a Villa Carlos Paz, 5% a Río Cuarto, 4% a Villa María y el restante 3% a San Francisco. La información data entre 2019 y 2021; dado el contexto inflacionario de Argentina, </w:t>
      </w:r>
      <w:r>
        <w:rPr>
          <w:highlight w:val="white"/>
        </w:rPr>
        <w:t xml:space="preserve">se actualizaron los datos muestrales a septiembre del 2021. </w:t>
      </w:r>
      <w:r>
        <w:t xml:space="preserve">Para esto se utilizó el </w:t>
      </w:r>
      <w:hyperlink r:id="rId14">
        <w:r>
          <w:t>IPC</w:t>
        </w:r>
      </w:hyperlink>
      <w:r>
        <w:t xml:space="preserve"> de la provincia de Córdoba</w:t>
      </w:r>
      <w:r>
        <w:rPr>
          <w:vertAlign w:val="superscript"/>
        </w:rPr>
        <w:footnoteReference w:id="2"/>
      </w:r>
      <w:r>
        <w:t xml:space="preserve">; particularmente, se tuvo en cuenta la categoría “alquileres de la vivienda, valor estimado, servicios de alojamiento, expensas y/o gastos comunes” (Código 311000 en la metodología del IPC Córdoba). </w:t>
      </w:r>
    </w:p>
    <w:p w14:paraId="200DB5C7" w14:textId="77777777" w:rsidR="004034C6" w:rsidRDefault="004034C6">
      <w:pPr>
        <w:spacing w:line="240" w:lineRule="auto"/>
        <w:jc w:val="both"/>
      </w:pPr>
    </w:p>
    <w:p w14:paraId="490350A9" w14:textId="77777777" w:rsidR="004034C6" w:rsidRDefault="006C59F2">
      <w:pPr>
        <w:spacing w:line="240" w:lineRule="auto"/>
        <w:jc w:val="both"/>
      </w:pPr>
      <w:r>
        <w:t xml:space="preserve">En el relevamiento de datos coexisten alquileres de distinta superficie edificada, antigüedad, distintos usos o tipologías (residencial en alta densidad, residencial individual, comercial), calidad constructiva, entre otros. Existen relaciones entre algunas de estas características y el valor por metro cuadrado de alquiler. Por </w:t>
      </w:r>
      <w:r>
        <w:lastRenderedPageBreak/>
        <w:t>ejemplo, alquileres con una superficie edificada más grande tienden a relacionarse con un valor por metro cuadrado más bajo que inmuebles con superficie más pequeña, manteniendo el resto de las características constantes. De manera similar, alquileres con mayor antigüedad se asocian con precios por metro cuadrado menores. Inmuebles alquilados para comercios se relacionan con valores por metro cuadrado mayores respecto a lo esperable para un departamento residencial.</w:t>
      </w:r>
    </w:p>
    <w:p w14:paraId="1F3A342B" w14:textId="77777777" w:rsidR="004034C6" w:rsidRDefault="004034C6">
      <w:pPr>
        <w:spacing w:line="240" w:lineRule="auto"/>
        <w:jc w:val="both"/>
      </w:pPr>
    </w:p>
    <w:p w14:paraId="16F0281F" w14:textId="77777777" w:rsidR="004034C6" w:rsidRDefault="006C59F2">
      <w:pPr>
        <w:spacing w:line="240" w:lineRule="auto"/>
        <w:jc w:val="both"/>
      </w:pPr>
      <w:r>
        <w:t xml:space="preserve">Estos efectos en las características mencionadas, y otras, pueden ser aislados mediante una regresión espacial. Con esta información se pueden expresar todos los alquileres en términos de un alquiler típico definido, que se denominará Valor Unitario del Alquiler (VUA), el cual está expresado en pesos mensuales por metro cuadrado, donde los pesos corresponden a septiembre del 2021. Queda por definir, entonces, lo que se entenderá de ahora en adelante como un alquiler típico, es decir las características de un VUA: </w:t>
      </w:r>
      <w:r>
        <w:rPr>
          <w:i/>
        </w:rPr>
        <w:t>un departamento de 50 m2, nuevo, de ubicación en la cuadra medial, categoría constructiva estándar, sin patio (en caso de ser una vivienda) y estado de conservación regular</w:t>
      </w:r>
      <w:r>
        <w:t>.</w:t>
      </w:r>
    </w:p>
    <w:p w14:paraId="163FE037" w14:textId="77777777" w:rsidR="004034C6" w:rsidRDefault="004034C6">
      <w:pPr>
        <w:spacing w:line="240" w:lineRule="auto"/>
        <w:jc w:val="both"/>
      </w:pPr>
    </w:p>
    <w:p w14:paraId="2B89653D" w14:textId="77777777" w:rsidR="004034C6" w:rsidRDefault="006C59F2">
      <w:pPr>
        <w:spacing w:line="240" w:lineRule="auto"/>
        <w:jc w:val="both"/>
      </w:pPr>
      <w:r>
        <w:t>Para aislar los efectos de las distintas variables mencionadas, y arribar al valor de alquiler para el inmueble típico definido anteriormente, se estimó una regresión espacial con la siguiente ecuación:</w:t>
      </w:r>
    </w:p>
    <w:p w14:paraId="50FDA508" w14:textId="77777777" w:rsidR="004034C6" w:rsidRDefault="004034C6">
      <w:pPr>
        <w:spacing w:line="240" w:lineRule="auto"/>
        <w:jc w:val="both"/>
      </w:pPr>
    </w:p>
    <w:p w14:paraId="2DB115E0" w14:textId="77777777" w:rsidR="004034C6" w:rsidRDefault="006C59F2">
      <w:pPr>
        <w:spacing w:line="240" w:lineRule="auto"/>
        <w:jc w:val="center"/>
        <w:rPr>
          <w:i/>
        </w:rPr>
      </w:pPr>
      <w:proofErr w:type="spellStart"/>
      <w:proofErr w:type="gramStart"/>
      <w:r>
        <w:rPr>
          <w:i/>
        </w:rPr>
        <w:t>ln</w:t>
      </w:r>
      <w:proofErr w:type="spellEnd"/>
      <w:r>
        <w:rPr>
          <w:i/>
        </w:rPr>
        <w:t>(</w:t>
      </w:r>
      <w:proofErr w:type="gramEnd"/>
      <w:r>
        <w:rPr>
          <w:i/>
        </w:rPr>
        <w:t xml:space="preserve">valor actualizado m2) = </w:t>
      </w:r>
      <w:proofErr w:type="spellStart"/>
      <w:r>
        <w:rPr>
          <w:i/>
        </w:rPr>
        <w:t>ln</w:t>
      </w:r>
      <w:proofErr w:type="spellEnd"/>
      <w:r>
        <w:rPr>
          <w:i/>
        </w:rPr>
        <w:t>(superficie edificada) + tipología + patio + ubicación cuadra + categoría constructiva + estado de conservación + antigüedad + antigüedad2</w:t>
      </w:r>
    </w:p>
    <w:p w14:paraId="7DA0F06A" w14:textId="77777777" w:rsidR="004034C6" w:rsidRDefault="004034C6">
      <w:pPr>
        <w:spacing w:line="240" w:lineRule="auto"/>
        <w:jc w:val="center"/>
        <w:rPr>
          <w:i/>
        </w:rPr>
      </w:pPr>
    </w:p>
    <w:p w14:paraId="2233FBA2" w14:textId="77777777" w:rsidR="004034C6" w:rsidRDefault="006C59F2">
      <w:pPr>
        <w:spacing w:line="240" w:lineRule="auto"/>
        <w:jc w:val="both"/>
      </w:pPr>
      <w:r>
        <w:t>Donde:</w:t>
      </w:r>
    </w:p>
    <w:p w14:paraId="3F4949B2" w14:textId="77777777" w:rsidR="004034C6" w:rsidRDefault="006C59F2">
      <w:pPr>
        <w:numPr>
          <w:ilvl w:val="0"/>
          <w:numId w:val="3"/>
        </w:numPr>
        <w:shd w:val="clear" w:color="auto" w:fill="FFFFFF"/>
        <w:spacing w:line="240" w:lineRule="auto"/>
        <w:jc w:val="both"/>
        <w:rPr>
          <w:i/>
          <w:color w:val="000000"/>
          <w:highlight w:val="white"/>
        </w:rPr>
      </w:pPr>
      <w:r>
        <w:rPr>
          <w:i/>
          <w:highlight w:val="white"/>
        </w:rPr>
        <w:t>valor actualizado m2: valores de mercado de la muestra de alquileres, en pesos actualizados a un mismo periodo del tiempo, expresados por metro cuadrado.</w:t>
      </w:r>
    </w:p>
    <w:p w14:paraId="799D1551" w14:textId="77777777" w:rsidR="004034C6" w:rsidRDefault="006C59F2">
      <w:pPr>
        <w:numPr>
          <w:ilvl w:val="0"/>
          <w:numId w:val="3"/>
        </w:numPr>
        <w:shd w:val="clear" w:color="auto" w:fill="FFFFFF"/>
        <w:spacing w:line="240" w:lineRule="auto"/>
        <w:jc w:val="both"/>
        <w:rPr>
          <w:i/>
          <w:color w:val="000000"/>
          <w:highlight w:val="white"/>
        </w:rPr>
      </w:pPr>
      <w:r>
        <w:rPr>
          <w:i/>
          <w:highlight w:val="white"/>
        </w:rPr>
        <w:t>superficie edificada: superficie cubierta propia del inmueble.</w:t>
      </w:r>
    </w:p>
    <w:p w14:paraId="1A47B499" w14:textId="77777777" w:rsidR="004034C6" w:rsidRDefault="006C59F2">
      <w:pPr>
        <w:numPr>
          <w:ilvl w:val="0"/>
          <w:numId w:val="3"/>
        </w:numPr>
        <w:shd w:val="clear" w:color="auto" w:fill="FFFFFF"/>
        <w:spacing w:line="240" w:lineRule="auto"/>
        <w:jc w:val="both"/>
        <w:rPr>
          <w:i/>
          <w:color w:val="000000"/>
          <w:highlight w:val="white"/>
        </w:rPr>
      </w:pPr>
      <w:r>
        <w:rPr>
          <w:i/>
          <w:highlight w:val="white"/>
        </w:rPr>
        <w:t>ubicación cuadra: variable categórica que indica la ubicación en la cuadra: 1 = medial, 2 = esquina, 3 = interno, 4 = salida a dos o más calles, 5 = pasillo.</w:t>
      </w:r>
    </w:p>
    <w:p w14:paraId="4BE801E9" w14:textId="77777777" w:rsidR="004034C6" w:rsidRDefault="006C59F2">
      <w:pPr>
        <w:numPr>
          <w:ilvl w:val="0"/>
          <w:numId w:val="3"/>
        </w:numPr>
        <w:shd w:val="clear" w:color="auto" w:fill="FFFFFF"/>
        <w:spacing w:line="240" w:lineRule="auto"/>
        <w:jc w:val="both"/>
        <w:rPr>
          <w:i/>
          <w:color w:val="000000"/>
          <w:highlight w:val="white"/>
        </w:rPr>
      </w:pPr>
      <w:r>
        <w:rPr>
          <w:i/>
          <w:highlight w:val="white"/>
        </w:rPr>
        <w:t>tipología: variable categórica que indica la tipología del alquiler, las clases son: D = Departamento, C = Comercio, O = Oficina y V = Vivienda.</w:t>
      </w:r>
    </w:p>
    <w:p w14:paraId="1E9E278E" w14:textId="77777777" w:rsidR="004034C6" w:rsidRDefault="006C59F2">
      <w:pPr>
        <w:numPr>
          <w:ilvl w:val="0"/>
          <w:numId w:val="3"/>
        </w:numPr>
        <w:shd w:val="clear" w:color="auto" w:fill="FFFFFF"/>
        <w:spacing w:line="240" w:lineRule="auto"/>
        <w:jc w:val="both"/>
        <w:rPr>
          <w:i/>
          <w:color w:val="000000"/>
          <w:highlight w:val="white"/>
        </w:rPr>
      </w:pPr>
      <w:r>
        <w:rPr>
          <w:i/>
          <w:highlight w:val="white"/>
        </w:rPr>
        <w:t xml:space="preserve">categoría constructiva: variable categórica que indica la categoría constructiva donde 0 </w:t>
      </w:r>
      <w:proofErr w:type="gramStart"/>
      <w:r>
        <w:rPr>
          <w:i/>
          <w:highlight w:val="white"/>
        </w:rPr>
        <w:t>=  Baja</w:t>
      </w:r>
      <w:proofErr w:type="gramEnd"/>
      <w:r>
        <w:rPr>
          <w:i/>
          <w:highlight w:val="white"/>
        </w:rPr>
        <w:t>, 1 = Estándar, 2 =  Media Alta y 3 = Alta.</w:t>
      </w:r>
    </w:p>
    <w:p w14:paraId="3460393F" w14:textId="77777777" w:rsidR="004034C6" w:rsidRDefault="006C59F2">
      <w:pPr>
        <w:numPr>
          <w:ilvl w:val="0"/>
          <w:numId w:val="3"/>
        </w:numPr>
        <w:shd w:val="clear" w:color="auto" w:fill="FFFFFF"/>
        <w:spacing w:line="240" w:lineRule="auto"/>
        <w:jc w:val="both"/>
        <w:rPr>
          <w:i/>
          <w:color w:val="000000"/>
          <w:highlight w:val="white"/>
        </w:rPr>
      </w:pPr>
      <w:r>
        <w:rPr>
          <w:i/>
          <w:highlight w:val="white"/>
        </w:rPr>
        <w:t>estado de conservación: variable categórica que indica el estado de conservación, que puede ser 1= Malo, 2 = Regular o 3 = Bueno.</w:t>
      </w:r>
    </w:p>
    <w:p w14:paraId="6A80E460" w14:textId="77777777" w:rsidR="004034C6" w:rsidRDefault="006C59F2">
      <w:pPr>
        <w:numPr>
          <w:ilvl w:val="0"/>
          <w:numId w:val="3"/>
        </w:numPr>
        <w:shd w:val="clear" w:color="auto" w:fill="FFFFFF"/>
        <w:spacing w:line="240" w:lineRule="auto"/>
        <w:jc w:val="both"/>
        <w:rPr>
          <w:i/>
          <w:color w:val="000000"/>
          <w:highlight w:val="white"/>
        </w:rPr>
      </w:pPr>
      <w:r>
        <w:rPr>
          <w:i/>
          <w:highlight w:val="white"/>
        </w:rPr>
        <w:t>antigüedad: antigüedad de la construcción en años.</w:t>
      </w:r>
    </w:p>
    <w:p w14:paraId="6DC62372" w14:textId="77777777" w:rsidR="004034C6" w:rsidRDefault="006C59F2">
      <w:pPr>
        <w:numPr>
          <w:ilvl w:val="0"/>
          <w:numId w:val="3"/>
        </w:numPr>
        <w:shd w:val="clear" w:color="auto" w:fill="FFFFFF"/>
        <w:spacing w:line="240" w:lineRule="auto"/>
        <w:jc w:val="both"/>
        <w:rPr>
          <w:i/>
          <w:color w:val="000000"/>
          <w:highlight w:val="white"/>
        </w:rPr>
      </w:pPr>
      <w:r>
        <w:rPr>
          <w:i/>
          <w:highlight w:val="white"/>
        </w:rPr>
        <w:t>antigüedad2: antigüedad de la construcción en años elevada al cuadrado</w:t>
      </w:r>
    </w:p>
    <w:p w14:paraId="654AADD2" w14:textId="77777777" w:rsidR="004034C6" w:rsidRDefault="006C59F2">
      <w:pPr>
        <w:numPr>
          <w:ilvl w:val="0"/>
          <w:numId w:val="3"/>
        </w:numPr>
        <w:shd w:val="clear" w:color="auto" w:fill="FFFFFF"/>
        <w:spacing w:line="240" w:lineRule="auto"/>
        <w:jc w:val="both"/>
        <w:rPr>
          <w:i/>
          <w:color w:val="000000"/>
          <w:highlight w:val="white"/>
        </w:rPr>
      </w:pPr>
      <w:r>
        <w:rPr>
          <w:i/>
          <w:highlight w:val="white"/>
        </w:rPr>
        <w:t xml:space="preserve">patio: variable categórica que indica las características del patio de una vivienda. 1 = patio grande, 2 = patio chico, 3 = no tiene patio. Se construyó </w:t>
      </w:r>
      <w:r>
        <w:rPr>
          <w:i/>
          <w:highlight w:val="white"/>
        </w:rPr>
        <w:lastRenderedPageBreak/>
        <w:t xml:space="preserve">realizando </w:t>
      </w:r>
      <w:proofErr w:type="gramStart"/>
      <w:r>
        <w:rPr>
          <w:i/>
          <w:highlight w:val="white"/>
        </w:rPr>
        <w:t>el ratio</w:t>
      </w:r>
      <w:proofErr w:type="gramEnd"/>
      <w:r>
        <w:rPr>
          <w:i/>
          <w:highlight w:val="white"/>
        </w:rPr>
        <w:t xml:space="preserve"> entre superficie edificada y superficie del terreno sólo para la tipología vivienda. Para </w:t>
      </w:r>
      <w:proofErr w:type="gramStart"/>
      <w:r>
        <w:rPr>
          <w:i/>
          <w:highlight w:val="white"/>
        </w:rPr>
        <w:t>el ratio menor</w:t>
      </w:r>
      <w:proofErr w:type="gramEnd"/>
      <w:r>
        <w:rPr>
          <w:i/>
          <w:highlight w:val="white"/>
        </w:rPr>
        <w:t xml:space="preserve"> a 0,5 la categoría asignada fue 3, entre 0,5 y 0,95 categoría 2 y mayor a 0,95 sin patio.</w:t>
      </w:r>
    </w:p>
    <w:p w14:paraId="7CFB3038" w14:textId="77777777" w:rsidR="004034C6" w:rsidRDefault="004034C6">
      <w:pPr>
        <w:spacing w:line="240" w:lineRule="auto"/>
        <w:jc w:val="both"/>
      </w:pPr>
    </w:p>
    <w:p w14:paraId="4B75D9DE" w14:textId="77777777" w:rsidR="004034C6" w:rsidRDefault="006C59F2">
      <w:pPr>
        <w:spacing w:line="240" w:lineRule="auto"/>
        <w:jc w:val="both"/>
      </w:pPr>
      <w:r>
        <w:t>A partir de la realización de diferentes test de hipótesis para capturar la existencia de dependencia espacial y su naturaleza (</w:t>
      </w:r>
      <w:r>
        <w:rPr>
          <w:color w:val="222222"/>
          <w:highlight w:val="white"/>
        </w:rPr>
        <w:t xml:space="preserve">Moran, 1950; </w:t>
      </w:r>
      <w:proofErr w:type="spellStart"/>
      <w:r>
        <w:rPr>
          <w:color w:val="222222"/>
        </w:rPr>
        <w:t>Burridge</w:t>
      </w:r>
      <w:proofErr w:type="spellEnd"/>
      <w:r>
        <w:rPr>
          <w:color w:val="222222"/>
        </w:rPr>
        <w:t xml:space="preserve">, 1981; </w:t>
      </w:r>
      <w:proofErr w:type="spellStart"/>
      <w:r>
        <w:rPr>
          <w:color w:val="222222"/>
        </w:rPr>
        <w:t>Anselin</w:t>
      </w:r>
      <w:proofErr w:type="spellEnd"/>
      <w:r>
        <w:rPr>
          <w:color w:val="222222"/>
        </w:rPr>
        <w:t>, et. al., 1996),</w:t>
      </w:r>
      <w:r>
        <w:t xml:space="preserve"> se aplicó un modelo de econometría espacial conocido como SAC</w:t>
      </w:r>
      <w:r>
        <w:rPr>
          <w:vertAlign w:val="superscript"/>
        </w:rPr>
        <w:footnoteReference w:id="3"/>
      </w:r>
      <w:r>
        <w:t xml:space="preserve"> (</w:t>
      </w:r>
      <w:proofErr w:type="spellStart"/>
      <w:r>
        <w:t>Kelejian</w:t>
      </w:r>
      <w:proofErr w:type="spellEnd"/>
      <w:r>
        <w:t xml:space="preserve">, </w:t>
      </w:r>
      <w:r>
        <w:rPr>
          <w:i/>
        </w:rPr>
        <w:t>et al</w:t>
      </w:r>
      <w:r>
        <w:t>., 2010), que incorpora dependencia espacial tanto en la variable dependiente como en los residuos del modelo. Para el cálculo de los impactos de cada variable independiente sobre la dependiente se consideraron los efectos derrame tanto directos como indirectos, el efecto total</w:t>
      </w:r>
      <w:r>
        <w:rPr>
          <w:vertAlign w:val="superscript"/>
        </w:rPr>
        <w:footnoteReference w:id="4"/>
      </w:r>
      <w:r>
        <w:t xml:space="preserve"> (</w:t>
      </w:r>
      <w:proofErr w:type="spellStart"/>
      <w:r>
        <w:t>Golgher</w:t>
      </w:r>
      <w:proofErr w:type="spellEnd"/>
      <w:r>
        <w:t>,</w:t>
      </w:r>
      <w:r>
        <w:rPr>
          <w:i/>
        </w:rPr>
        <w:t xml:space="preserve"> et al</w:t>
      </w:r>
      <w:r>
        <w:t>., 2016). Dado que la variable dependiente está expresada en logaritmo, los efectos de cada variable pueden interpretarse como elasticidades o semi elasticidades, según la variable independiente esté o no expresada también en logaritmos; a continuación, se detalla la interpretación de los coeficientes estimados.</w:t>
      </w:r>
    </w:p>
    <w:p w14:paraId="0333E781" w14:textId="77777777" w:rsidR="004034C6" w:rsidRDefault="004034C6">
      <w:pPr>
        <w:spacing w:line="240" w:lineRule="auto"/>
        <w:jc w:val="both"/>
      </w:pPr>
    </w:p>
    <w:p w14:paraId="7944E8C5" w14:textId="77777777" w:rsidR="004034C6" w:rsidRDefault="006C59F2">
      <w:pPr>
        <w:spacing w:line="240" w:lineRule="auto"/>
        <w:jc w:val="both"/>
      </w:pPr>
      <w:r>
        <w:t>Los resultados de la regresión indican que un espacio alquilable de 55 metros cuadrados (es decir, un 10% superior a la categoría de referencia fijada en 50 m2) tiene, en promedio, un valor 2,5% más bajo, manteniendo el resto de las características constantes. El precio del alquiler por metro cuadrado se relaciona con valores un 4,3% superiores (en promedio) cuando se encuentran en una esquina. Cuando el alquiler es con propósitos comerciales (tipología comercio), el valor por metro aumenta en promedio un 55%. Dentro del uso residencial, una vivienda (tipología vivienda) se caracteriza por tener un valor por metro cuadrado un 12% más bajo que un departamento. Adicionalmente, si la vivienda tiene un patio grande, el valor por metro cuadrado tiende a aumentar en un 22,8%. La antigüedad tiene un efecto negativo no lineal sobre el valor por metro cuadrado del alquiler, donde a mayor antigüedad el efecto negativo pierde fuerza. Cuando la categoría constructiva es mala, el precio de alquiler por metro cuadrado baja en promedio un 20,5%; cuando la categoría constructiva es buena, el valor aumenta un 17% y cuando es muy buena el efecto alcanza el 44%. Finalmente, cuando el estado de conservación del alquiler es bueno se relaciona con valores un 4,5% mayores respecto al estándar. Algunas de estas relaciones se pueden observar de manera ilustrativa en los Gráficos 1 y 2.</w:t>
      </w:r>
    </w:p>
    <w:p w14:paraId="63A2D483" w14:textId="77777777" w:rsidR="004034C6" w:rsidRDefault="004034C6">
      <w:pPr>
        <w:spacing w:line="240" w:lineRule="auto"/>
        <w:jc w:val="both"/>
      </w:pPr>
    </w:p>
    <w:p w14:paraId="78BF9B99" w14:textId="77777777" w:rsidR="004034C6" w:rsidRDefault="006C59F2">
      <w:pPr>
        <w:spacing w:line="240" w:lineRule="auto"/>
        <w:jc w:val="center"/>
      </w:pPr>
      <w:r>
        <w:rPr>
          <w:noProof/>
          <w:lang w:val="en-US" w:eastAsia="en-US"/>
        </w:rPr>
        <w:lastRenderedPageBreak/>
        <w:drawing>
          <wp:inline distT="114300" distB="114300" distL="114300" distR="114300" wp14:anchorId="3117B5D9" wp14:editId="75A80C7D">
            <wp:extent cx="4147975" cy="3106453"/>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4147975" cy="3106453"/>
                    </a:xfrm>
                    <a:prstGeom prst="rect">
                      <a:avLst/>
                    </a:prstGeom>
                    <a:ln/>
                  </pic:spPr>
                </pic:pic>
              </a:graphicData>
            </a:graphic>
          </wp:inline>
        </w:drawing>
      </w:r>
    </w:p>
    <w:p w14:paraId="69C14001" w14:textId="77777777" w:rsidR="004034C6" w:rsidRPr="00453EB4" w:rsidRDefault="006C59F2">
      <w:pPr>
        <w:spacing w:line="240" w:lineRule="auto"/>
        <w:jc w:val="center"/>
        <w:rPr>
          <w:i/>
          <w:sz w:val="20"/>
          <w:szCs w:val="20"/>
        </w:rPr>
      </w:pPr>
      <w:r w:rsidRPr="00453EB4">
        <w:rPr>
          <w:sz w:val="20"/>
          <w:szCs w:val="20"/>
        </w:rPr>
        <w:t>Gráfico 1. Variación del valor por metro cuadrado de alquiler al variar la superficie y la tipología</w:t>
      </w:r>
    </w:p>
    <w:p w14:paraId="35C15748" w14:textId="4A69EC14" w:rsidR="004034C6" w:rsidRDefault="004034C6">
      <w:pPr>
        <w:spacing w:line="240" w:lineRule="auto"/>
        <w:jc w:val="center"/>
      </w:pPr>
    </w:p>
    <w:p w14:paraId="5C92A0DE" w14:textId="77777777" w:rsidR="00453EB4" w:rsidRDefault="00453EB4">
      <w:pPr>
        <w:spacing w:line="240" w:lineRule="auto"/>
        <w:jc w:val="center"/>
      </w:pPr>
    </w:p>
    <w:p w14:paraId="553E34BB" w14:textId="77777777" w:rsidR="004034C6" w:rsidRDefault="006C59F2">
      <w:pPr>
        <w:spacing w:line="240" w:lineRule="auto"/>
        <w:jc w:val="center"/>
      </w:pPr>
      <w:r>
        <w:rPr>
          <w:noProof/>
          <w:lang w:val="en-US" w:eastAsia="en-US"/>
        </w:rPr>
        <w:drawing>
          <wp:inline distT="114300" distB="114300" distL="114300" distR="114300" wp14:anchorId="4AF3FC43" wp14:editId="0D218310">
            <wp:extent cx="4061721" cy="2899943"/>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4061721" cy="2899943"/>
                    </a:xfrm>
                    <a:prstGeom prst="rect">
                      <a:avLst/>
                    </a:prstGeom>
                    <a:ln/>
                  </pic:spPr>
                </pic:pic>
              </a:graphicData>
            </a:graphic>
          </wp:inline>
        </w:drawing>
      </w:r>
    </w:p>
    <w:p w14:paraId="4E79C007" w14:textId="77777777" w:rsidR="004034C6" w:rsidRPr="00453EB4" w:rsidRDefault="006C59F2">
      <w:pPr>
        <w:spacing w:line="240" w:lineRule="auto"/>
        <w:jc w:val="center"/>
        <w:rPr>
          <w:sz w:val="20"/>
          <w:szCs w:val="20"/>
        </w:rPr>
      </w:pPr>
      <w:r w:rsidRPr="00453EB4">
        <w:rPr>
          <w:sz w:val="20"/>
          <w:szCs w:val="20"/>
        </w:rPr>
        <w:t>Gráfico 2. Variación del valor por metro cuadrado de alquiler al variar la antigüedad y la categoría constructiva</w:t>
      </w:r>
    </w:p>
    <w:p w14:paraId="2FC89B12" w14:textId="77777777" w:rsidR="004034C6" w:rsidRDefault="004034C6">
      <w:pPr>
        <w:spacing w:line="240" w:lineRule="auto"/>
        <w:jc w:val="both"/>
      </w:pPr>
    </w:p>
    <w:p w14:paraId="3DF1C2CD" w14:textId="77777777" w:rsidR="004034C6" w:rsidRDefault="004034C6">
      <w:pPr>
        <w:spacing w:line="240" w:lineRule="auto"/>
      </w:pPr>
    </w:p>
    <w:p w14:paraId="7ECB1453" w14:textId="77777777" w:rsidR="004034C6" w:rsidRDefault="006C59F2">
      <w:pPr>
        <w:spacing w:line="240" w:lineRule="auto"/>
        <w:jc w:val="center"/>
      </w:pPr>
      <w:r>
        <w:rPr>
          <w:noProof/>
          <w:lang w:val="en-US" w:eastAsia="en-US"/>
        </w:rPr>
        <w:drawing>
          <wp:inline distT="114300" distB="114300" distL="114300" distR="114300" wp14:anchorId="59ADC5CB" wp14:editId="6D34D382">
            <wp:extent cx="4857750" cy="6724650"/>
            <wp:effectExtent l="0" t="0" r="0" b="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a:srcRect/>
                    <a:stretch>
                      <a:fillRect/>
                    </a:stretch>
                  </pic:blipFill>
                  <pic:spPr>
                    <a:xfrm>
                      <a:off x="0" y="0"/>
                      <a:ext cx="4857755" cy="6724657"/>
                    </a:xfrm>
                    <a:prstGeom prst="rect">
                      <a:avLst/>
                    </a:prstGeom>
                    <a:ln/>
                  </pic:spPr>
                </pic:pic>
              </a:graphicData>
            </a:graphic>
          </wp:inline>
        </w:drawing>
      </w:r>
    </w:p>
    <w:p w14:paraId="4FD7BCE5" w14:textId="77777777" w:rsidR="004034C6" w:rsidRPr="00453EB4" w:rsidRDefault="006C59F2">
      <w:pPr>
        <w:spacing w:line="240" w:lineRule="auto"/>
        <w:jc w:val="center"/>
        <w:rPr>
          <w:sz w:val="20"/>
          <w:szCs w:val="20"/>
        </w:rPr>
      </w:pPr>
      <w:r w:rsidRPr="00453EB4">
        <w:rPr>
          <w:sz w:val="20"/>
          <w:szCs w:val="20"/>
        </w:rPr>
        <w:t>Figura 1. Mapas del VUA muestra de mercado</w:t>
      </w:r>
    </w:p>
    <w:p w14:paraId="22768A10" w14:textId="77777777" w:rsidR="004034C6" w:rsidRDefault="006C59F2">
      <w:pPr>
        <w:spacing w:line="240" w:lineRule="auto"/>
        <w:jc w:val="both"/>
        <w:rPr>
          <w:sz w:val="18"/>
          <w:szCs w:val="18"/>
        </w:rPr>
      </w:pPr>
      <w:r>
        <w:lastRenderedPageBreak/>
        <w:t>Sustrayendo todos los efectos mencionados se llega a un VUA por localidad. En la ciudad de Córdoba la mediana del VUA en la muestra fue de $429, para Río Cuarto $324, en San Francisco el VUA mediano se calculó en $362, dicho valor fue estimado en $450 para Villa Carlos Paz y $252 en Villa María. La mediana para todo el conjunto de datos llegó a $416. En las figuras 1 y 2 se presentan una serie de mapas que permiten ver la distribución espacial de los VUA calculados para cada localidad.</w:t>
      </w:r>
    </w:p>
    <w:p w14:paraId="389B5EBB" w14:textId="64E232C6" w:rsidR="004034C6" w:rsidRDefault="004034C6">
      <w:pPr>
        <w:spacing w:line="240" w:lineRule="auto"/>
        <w:jc w:val="center"/>
        <w:rPr>
          <w:sz w:val="24"/>
          <w:szCs w:val="24"/>
        </w:rPr>
      </w:pPr>
    </w:p>
    <w:p w14:paraId="54C2BD1B" w14:textId="77777777" w:rsidR="00453EB4" w:rsidRPr="00453EB4" w:rsidRDefault="00453EB4">
      <w:pPr>
        <w:spacing w:line="240" w:lineRule="auto"/>
        <w:jc w:val="center"/>
        <w:rPr>
          <w:sz w:val="24"/>
          <w:szCs w:val="24"/>
        </w:rPr>
      </w:pPr>
    </w:p>
    <w:p w14:paraId="3B8DFA62" w14:textId="50377D58" w:rsidR="004034C6" w:rsidRDefault="006C59F2">
      <w:pPr>
        <w:pStyle w:val="Ttulo1"/>
        <w:numPr>
          <w:ilvl w:val="0"/>
          <w:numId w:val="2"/>
        </w:numPr>
        <w:spacing w:before="0" w:after="0" w:line="240" w:lineRule="auto"/>
        <w:jc w:val="both"/>
        <w:rPr>
          <w:b/>
        </w:rPr>
      </w:pPr>
      <w:bookmarkStart w:id="2" w:name="_bgmobydub8gp" w:colFirst="0" w:colLast="0"/>
      <w:bookmarkEnd w:id="2"/>
      <w:r>
        <w:rPr>
          <w:b/>
          <w:sz w:val="22"/>
          <w:szCs w:val="22"/>
        </w:rPr>
        <w:t>V</w:t>
      </w:r>
      <w:r w:rsidR="00453EB4">
        <w:rPr>
          <w:b/>
          <w:sz w:val="22"/>
          <w:szCs w:val="22"/>
        </w:rPr>
        <w:t>ariables Independientes</w:t>
      </w:r>
    </w:p>
    <w:p w14:paraId="50CB6242" w14:textId="77777777" w:rsidR="004034C6" w:rsidRPr="00453EB4" w:rsidRDefault="004034C6">
      <w:pPr>
        <w:spacing w:line="240" w:lineRule="auto"/>
        <w:jc w:val="both"/>
        <w:rPr>
          <w:sz w:val="24"/>
          <w:szCs w:val="24"/>
        </w:rPr>
      </w:pPr>
    </w:p>
    <w:p w14:paraId="258563F5" w14:textId="77777777" w:rsidR="004034C6" w:rsidRDefault="006C59F2">
      <w:pPr>
        <w:spacing w:line="240" w:lineRule="auto"/>
        <w:jc w:val="both"/>
      </w:pPr>
      <w:r>
        <w:t>Para predecir el valor del alquiler en todo el territorio de las ciudades es necesario contar con un conjunto de variables que a priori expliquen el valor del alquiler. Este grupo de variables se conoce como variables independientes o explicativas. Las variables independientes utilizadas en este trabajo pueden dividirse en tres grupos generales:</w:t>
      </w:r>
    </w:p>
    <w:p w14:paraId="095869A7" w14:textId="77777777" w:rsidR="004034C6" w:rsidRDefault="004034C6">
      <w:pPr>
        <w:spacing w:line="240" w:lineRule="auto"/>
        <w:jc w:val="both"/>
      </w:pPr>
    </w:p>
    <w:p w14:paraId="1FD9CF43" w14:textId="77777777" w:rsidR="004034C6" w:rsidRDefault="006C59F2">
      <w:pPr>
        <w:numPr>
          <w:ilvl w:val="1"/>
          <w:numId w:val="1"/>
        </w:numPr>
        <w:spacing w:line="240" w:lineRule="auto"/>
        <w:ind w:left="283" w:hanging="283"/>
        <w:jc w:val="both"/>
        <w:rPr>
          <w:rFonts w:ascii="Calibri" w:eastAsia="Calibri" w:hAnsi="Calibri" w:cs="Calibri"/>
        </w:rPr>
      </w:pPr>
      <w:r>
        <w:rPr>
          <w:b/>
        </w:rPr>
        <w:t>Variables generadas a partir de información libre en IDECOR</w:t>
      </w:r>
      <w:r>
        <w:t>. (IDECOR, 2021) Considerando los mapas del valor de la tierra urbana se generaron las variables de valor unitario</w:t>
      </w:r>
      <w:r>
        <w:rPr>
          <w:vertAlign w:val="superscript"/>
        </w:rPr>
        <w:footnoteReference w:id="5"/>
      </w:r>
      <w:r>
        <w:t xml:space="preserve"> de la tierra para los años 2018 a 2020. Desde los mapas de fragmentación urbana</w:t>
      </w:r>
      <w:r>
        <w:rPr>
          <w:vertAlign w:val="superscript"/>
        </w:rPr>
        <w:footnoteReference w:id="6"/>
      </w:r>
      <w:r>
        <w:t xml:space="preserve"> se generaron las variables porcentaje del tipo Urbano Edificado Compacto en un radio de 500 m, porcentaje del tipo Urbano Edificado Disperso en un radio de 500 m, porcentaje del tipo Rural Edificado en un radio de 500 m, porcentaje del tipo Urbano Abierto en un radio de 500 m, porcentaje del tipo Borde Urbano en un radio de 500 m, porcentaje del tipo Espacio Abierto Rural en un radio de 500 m, porcentaje del tipo Agua en un radio de 500 m y una variable categórica que denota la </w:t>
      </w:r>
      <w:r>
        <w:rPr>
          <w:highlight w:val="white"/>
        </w:rPr>
        <w:t>posición en el nivel de consolida</w:t>
      </w:r>
      <w:r>
        <w:t xml:space="preserve">ción. Partiendo </w:t>
      </w:r>
      <w:r>
        <w:rPr>
          <w:highlight w:val="white"/>
        </w:rPr>
        <w:t>de datos básicos y fundamentales de la Provincia de Córdoba presentes en IDECOR se pueden construir variables como distancia a rutas, distancia a vías principales</w:t>
      </w:r>
      <w:r>
        <w:t>,</w:t>
      </w:r>
      <w:r>
        <w:rPr>
          <w:highlight w:val="white"/>
        </w:rPr>
        <w:t xml:space="preserve"> distancia a vías secundarias</w:t>
      </w:r>
      <w:r>
        <w:rPr>
          <w:highlight w:val="white"/>
          <w:vertAlign w:val="superscript"/>
        </w:rPr>
        <w:footnoteReference w:id="7"/>
      </w:r>
      <w:r>
        <w:rPr>
          <w:highlight w:val="white"/>
        </w:rPr>
        <w:t>, distancia a principales ríos y cuerpos de agua</w:t>
      </w:r>
      <w:r>
        <w:rPr>
          <w:highlight w:val="white"/>
          <w:vertAlign w:val="superscript"/>
        </w:rPr>
        <w:footnoteReference w:id="8"/>
      </w:r>
      <w:r>
        <w:t>.</w:t>
      </w:r>
    </w:p>
    <w:p w14:paraId="01F0FB89" w14:textId="77777777" w:rsidR="004034C6" w:rsidRDefault="004034C6">
      <w:pPr>
        <w:spacing w:line="240" w:lineRule="auto"/>
        <w:ind w:left="1440"/>
        <w:jc w:val="both"/>
      </w:pPr>
    </w:p>
    <w:p w14:paraId="14EE611B" w14:textId="77777777" w:rsidR="004034C6" w:rsidRDefault="006C59F2">
      <w:pPr>
        <w:numPr>
          <w:ilvl w:val="1"/>
          <w:numId w:val="1"/>
        </w:numPr>
        <w:spacing w:line="240" w:lineRule="auto"/>
        <w:ind w:left="283" w:hanging="283"/>
        <w:jc w:val="both"/>
        <w:rPr>
          <w:rFonts w:ascii="Calibri" w:eastAsia="Calibri" w:hAnsi="Calibri" w:cs="Calibri"/>
        </w:rPr>
      </w:pPr>
      <w:r>
        <w:rPr>
          <w:b/>
        </w:rPr>
        <w:t>Variables construidas a partir de información abierta de otras fuentes</w:t>
      </w:r>
      <w:r>
        <w:t>.</w:t>
      </w:r>
      <w:r>
        <w:rPr>
          <w:highlight w:val="white"/>
        </w:rPr>
        <w:t xml:space="preserve"> Porcentaje de píxeles construidos en un entorno de 500 m, promedio de </w:t>
      </w:r>
      <w:proofErr w:type="spellStart"/>
      <w:r>
        <w:rPr>
          <w:i/>
          <w:highlight w:val="white"/>
        </w:rPr>
        <w:t>Biophysical</w:t>
      </w:r>
      <w:proofErr w:type="spellEnd"/>
      <w:r>
        <w:rPr>
          <w:i/>
          <w:highlight w:val="white"/>
        </w:rPr>
        <w:t xml:space="preserve"> </w:t>
      </w:r>
      <w:proofErr w:type="spellStart"/>
      <w:r>
        <w:rPr>
          <w:i/>
          <w:highlight w:val="white"/>
        </w:rPr>
        <w:t>Composition</w:t>
      </w:r>
      <w:proofErr w:type="spellEnd"/>
      <w:r>
        <w:rPr>
          <w:i/>
          <w:highlight w:val="white"/>
        </w:rPr>
        <w:t xml:space="preserve"> </w:t>
      </w:r>
      <w:proofErr w:type="spellStart"/>
      <w:r>
        <w:rPr>
          <w:i/>
          <w:highlight w:val="white"/>
        </w:rPr>
        <w:t>Index</w:t>
      </w:r>
      <w:proofErr w:type="spellEnd"/>
      <w:r>
        <w:rPr>
          <w:highlight w:val="white"/>
        </w:rPr>
        <w:t xml:space="preserve"> en un entorno de 500 m</w:t>
      </w:r>
      <w:r>
        <w:t>,</w:t>
      </w:r>
      <w:r>
        <w:rPr>
          <w:highlight w:val="white"/>
        </w:rPr>
        <w:t xml:space="preserve"> Promedio de </w:t>
      </w:r>
      <w:r>
        <w:rPr>
          <w:i/>
          <w:highlight w:val="white"/>
        </w:rPr>
        <w:t xml:space="preserve">Ratio </w:t>
      </w:r>
      <w:proofErr w:type="spellStart"/>
      <w:r>
        <w:rPr>
          <w:i/>
          <w:highlight w:val="white"/>
        </w:rPr>
        <w:t>Normalized</w:t>
      </w:r>
      <w:proofErr w:type="spellEnd"/>
      <w:r>
        <w:rPr>
          <w:i/>
          <w:highlight w:val="white"/>
        </w:rPr>
        <w:t xml:space="preserve"> </w:t>
      </w:r>
      <w:proofErr w:type="spellStart"/>
      <w:r>
        <w:rPr>
          <w:i/>
          <w:highlight w:val="white"/>
        </w:rPr>
        <w:t>Difference</w:t>
      </w:r>
      <w:proofErr w:type="spellEnd"/>
      <w:r>
        <w:rPr>
          <w:i/>
          <w:highlight w:val="white"/>
        </w:rPr>
        <w:t xml:space="preserve"> </w:t>
      </w:r>
      <w:proofErr w:type="spellStart"/>
      <w:r>
        <w:rPr>
          <w:i/>
          <w:highlight w:val="white"/>
        </w:rPr>
        <w:t>Soil</w:t>
      </w:r>
      <w:proofErr w:type="spellEnd"/>
      <w:r>
        <w:rPr>
          <w:i/>
          <w:highlight w:val="white"/>
        </w:rPr>
        <w:t xml:space="preserve"> </w:t>
      </w:r>
      <w:proofErr w:type="spellStart"/>
      <w:r>
        <w:rPr>
          <w:i/>
          <w:highlight w:val="white"/>
        </w:rPr>
        <w:t>Index</w:t>
      </w:r>
      <w:proofErr w:type="spellEnd"/>
      <w:r>
        <w:rPr>
          <w:i/>
          <w:highlight w:val="white"/>
        </w:rPr>
        <w:t xml:space="preserve"> </w:t>
      </w:r>
      <w:r>
        <w:rPr>
          <w:highlight w:val="white"/>
        </w:rPr>
        <w:t xml:space="preserve">en un entorno de 500 m, promedio de </w:t>
      </w:r>
      <w:proofErr w:type="spellStart"/>
      <w:r>
        <w:rPr>
          <w:i/>
          <w:highlight w:val="white"/>
        </w:rPr>
        <w:t>Urban</w:t>
      </w:r>
      <w:proofErr w:type="spellEnd"/>
      <w:r>
        <w:rPr>
          <w:i/>
          <w:highlight w:val="white"/>
        </w:rPr>
        <w:t xml:space="preserve"> </w:t>
      </w:r>
      <w:proofErr w:type="spellStart"/>
      <w:r>
        <w:rPr>
          <w:i/>
          <w:highlight w:val="white"/>
        </w:rPr>
        <w:t>Index</w:t>
      </w:r>
      <w:proofErr w:type="spellEnd"/>
      <w:r>
        <w:rPr>
          <w:highlight w:val="white"/>
        </w:rPr>
        <w:t xml:space="preserve"> en un entorno de 500 m</w:t>
      </w:r>
      <w:r>
        <w:t>,</w:t>
      </w:r>
      <w:r>
        <w:rPr>
          <w:highlight w:val="white"/>
        </w:rPr>
        <w:t xml:space="preserve"> promedio de </w:t>
      </w:r>
      <w:r>
        <w:rPr>
          <w:i/>
          <w:highlight w:val="white"/>
        </w:rPr>
        <w:t xml:space="preserve">Normal </w:t>
      </w:r>
      <w:proofErr w:type="spellStart"/>
      <w:r>
        <w:rPr>
          <w:i/>
          <w:highlight w:val="white"/>
        </w:rPr>
        <w:t>Difference</w:t>
      </w:r>
      <w:proofErr w:type="spellEnd"/>
      <w:r>
        <w:rPr>
          <w:i/>
          <w:highlight w:val="white"/>
        </w:rPr>
        <w:t xml:space="preserve"> </w:t>
      </w:r>
      <w:proofErr w:type="spellStart"/>
      <w:r>
        <w:rPr>
          <w:i/>
          <w:highlight w:val="white"/>
        </w:rPr>
        <w:t>Building</w:t>
      </w:r>
      <w:proofErr w:type="spellEnd"/>
      <w:r>
        <w:rPr>
          <w:i/>
          <w:highlight w:val="white"/>
        </w:rPr>
        <w:t xml:space="preserve"> </w:t>
      </w:r>
      <w:proofErr w:type="spellStart"/>
      <w:r>
        <w:rPr>
          <w:i/>
          <w:highlight w:val="white"/>
        </w:rPr>
        <w:t>Index</w:t>
      </w:r>
      <w:proofErr w:type="spellEnd"/>
      <w:r>
        <w:rPr>
          <w:highlight w:val="white"/>
        </w:rPr>
        <w:t xml:space="preserve"> </w:t>
      </w:r>
      <w:r>
        <w:rPr>
          <w:highlight w:val="white"/>
        </w:rPr>
        <w:lastRenderedPageBreak/>
        <w:t xml:space="preserve">en un entorno de 500 m, promedio de </w:t>
      </w:r>
      <w:r>
        <w:rPr>
          <w:i/>
          <w:highlight w:val="white"/>
        </w:rPr>
        <w:t xml:space="preserve">Normal </w:t>
      </w:r>
      <w:proofErr w:type="spellStart"/>
      <w:r>
        <w:rPr>
          <w:i/>
          <w:highlight w:val="white"/>
        </w:rPr>
        <w:t>Difference</w:t>
      </w:r>
      <w:proofErr w:type="spellEnd"/>
      <w:r>
        <w:rPr>
          <w:i/>
          <w:highlight w:val="white"/>
        </w:rPr>
        <w:t xml:space="preserve"> </w:t>
      </w:r>
      <w:proofErr w:type="spellStart"/>
      <w:r>
        <w:rPr>
          <w:i/>
          <w:highlight w:val="white"/>
        </w:rPr>
        <w:t>Vegetation</w:t>
      </w:r>
      <w:proofErr w:type="spellEnd"/>
      <w:r>
        <w:rPr>
          <w:i/>
          <w:highlight w:val="white"/>
        </w:rPr>
        <w:t xml:space="preserve"> </w:t>
      </w:r>
      <w:proofErr w:type="spellStart"/>
      <w:r>
        <w:rPr>
          <w:i/>
          <w:highlight w:val="white"/>
        </w:rPr>
        <w:t>Index</w:t>
      </w:r>
      <w:proofErr w:type="spellEnd"/>
      <w:r>
        <w:rPr>
          <w:highlight w:val="white"/>
        </w:rPr>
        <w:t xml:space="preserve"> en un entorno de 500 m y promedio de densidad de calles ponderadas a partir de información extraída de </w:t>
      </w:r>
      <w:proofErr w:type="spellStart"/>
      <w:r>
        <w:rPr>
          <w:highlight w:val="white"/>
        </w:rPr>
        <w:t>Openstreetmap</w:t>
      </w:r>
      <w:proofErr w:type="spellEnd"/>
      <w:r>
        <w:t>.</w:t>
      </w:r>
    </w:p>
    <w:p w14:paraId="18101457" w14:textId="77777777" w:rsidR="004034C6" w:rsidRDefault="004034C6">
      <w:pPr>
        <w:spacing w:line="240" w:lineRule="auto"/>
        <w:ind w:left="1440"/>
        <w:jc w:val="both"/>
        <w:rPr>
          <w:b/>
        </w:rPr>
      </w:pPr>
    </w:p>
    <w:p w14:paraId="3BE91BAE" w14:textId="77777777" w:rsidR="004034C6" w:rsidRDefault="006C59F2">
      <w:pPr>
        <w:numPr>
          <w:ilvl w:val="1"/>
          <w:numId w:val="1"/>
        </w:numPr>
        <w:spacing w:line="240" w:lineRule="auto"/>
        <w:ind w:left="283" w:hanging="283"/>
        <w:jc w:val="both"/>
        <w:rPr>
          <w:rFonts w:ascii="Calibri" w:eastAsia="Calibri" w:hAnsi="Calibri" w:cs="Calibri"/>
        </w:rPr>
      </w:pPr>
      <w:r>
        <w:rPr>
          <w:b/>
        </w:rPr>
        <w:t>Cálculos espaciales realizados ad-hoc por la IDE provincial</w:t>
      </w:r>
      <w:r>
        <w:t xml:space="preserve">. </w:t>
      </w:r>
      <w:r>
        <w:rPr>
          <w:highlight w:val="white"/>
        </w:rPr>
        <w:t>Distancia a zona de alto perfil inmobiliario</w:t>
      </w:r>
      <w:r>
        <w:t>,</w:t>
      </w:r>
      <w:r>
        <w:rPr>
          <w:highlight w:val="white"/>
        </w:rPr>
        <w:t xml:space="preserve"> distancia a zona de bajo perfil inmobiliario</w:t>
      </w:r>
      <w:r>
        <w:t>,</w:t>
      </w:r>
      <w:r>
        <w:rPr>
          <w:highlight w:val="white"/>
        </w:rPr>
        <w:t xml:space="preserve"> distancia a líneas divisorias de valor</w:t>
      </w:r>
      <w:r>
        <w:t>,</w:t>
      </w:r>
      <w:r>
        <w:rPr>
          <w:highlight w:val="white"/>
        </w:rPr>
        <w:t xml:space="preserve"> distancia a zonas de bajo perfil  inmobiliario</w:t>
      </w:r>
      <w:r>
        <w:t>, p</w:t>
      </w:r>
      <w:r>
        <w:rPr>
          <w:highlight w:val="white"/>
        </w:rPr>
        <w:t>romedio de superficie de lotes en un radio de 500 m</w:t>
      </w:r>
      <w:r>
        <w:t>, p</w:t>
      </w:r>
      <w:r>
        <w:rPr>
          <w:highlight w:val="white"/>
        </w:rPr>
        <w:t>orcentaje de m2 edificados en un radio de 500 m,</w:t>
      </w:r>
      <w:r>
        <w:t xml:space="preserve"> p</w:t>
      </w:r>
      <w:r>
        <w:rPr>
          <w:highlight w:val="white"/>
        </w:rPr>
        <w:t>orcentaje de la superficie de lotes baldíos en un radio de 500 m</w:t>
      </w:r>
      <w:r>
        <w:t>,</w:t>
      </w:r>
      <w:r>
        <w:rPr>
          <w:highlight w:val="white"/>
        </w:rPr>
        <w:t xml:space="preserve"> porcentaje de m2 baldíos en un radio de 500 m, producto entre densidad de calles ponderadas de OSM y un mapa de calor por ubicación del impuesto de Ingresos Brutos</w:t>
      </w:r>
      <w:r>
        <w:t>.</w:t>
      </w:r>
    </w:p>
    <w:p w14:paraId="78D7C663" w14:textId="1EA31FCF" w:rsidR="004034C6" w:rsidRDefault="004034C6">
      <w:pPr>
        <w:spacing w:line="240" w:lineRule="auto"/>
        <w:ind w:left="1440"/>
        <w:jc w:val="both"/>
        <w:rPr>
          <w:sz w:val="24"/>
          <w:szCs w:val="24"/>
        </w:rPr>
      </w:pPr>
    </w:p>
    <w:p w14:paraId="730817B2" w14:textId="77777777" w:rsidR="00453EB4" w:rsidRPr="00453EB4" w:rsidRDefault="00453EB4">
      <w:pPr>
        <w:spacing w:line="240" w:lineRule="auto"/>
        <w:ind w:left="1440"/>
        <w:jc w:val="both"/>
        <w:rPr>
          <w:sz w:val="24"/>
          <w:szCs w:val="24"/>
        </w:rPr>
      </w:pPr>
    </w:p>
    <w:p w14:paraId="08E2BE8D" w14:textId="6BFA071F" w:rsidR="004034C6" w:rsidRDefault="006C59F2">
      <w:pPr>
        <w:pStyle w:val="Ttulo1"/>
        <w:numPr>
          <w:ilvl w:val="0"/>
          <w:numId w:val="2"/>
        </w:numPr>
        <w:spacing w:before="0" w:after="0" w:line="240" w:lineRule="auto"/>
        <w:jc w:val="both"/>
        <w:rPr>
          <w:b/>
        </w:rPr>
      </w:pPr>
      <w:bookmarkStart w:id="3" w:name="_d2418tq4mafk" w:colFirst="0" w:colLast="0"/>
      <w:bookmarkEnd w:id="3"/>
      <w:r>
        <w:rPr>
          <w:b/>
          <w:sz w:val="22"/>
          <w:szCs w:val="22"/>
        </w:rPr>
        <w:t>R</w:t>
      </w:r>
      <w:r w:rsidR="00453EB4">
        <w:rPr>
          <w:b/>
          <w:sz w:val="22"/>
          <w:szCs w:val="22"/>
        </w:rPr>
        <w:t>esultados</w:t>
      </w:r>
    </w:p>
    <w:p w14:paraId="7DB4E0FD" w14:textId="77777777" w:rsidR="004034C6" w:rsidRPr="00453EB4" w:rsidRDefault="004034C6">
      <w:pPr>
        <w:rPr>
          <w:sz w:val="24"/>
          <w:szCs w:val="24"/>
        </w:rPr>
      </w:pPr>
    </w:p>
    <w:p w14:paraId="1F284BD7" w14:textId="77777777" w:rsidR="004034C6" w:rsidRDefault="006C59F2">
      <w:pPr>
        <w:shd w:val="clear" w:color="auto" w:fill="FFFFFF"/>
        <w:spacing w:line="240" w:lineRule="auto"/>
        <w:jc w:val="both"/>
        <w:rPr>
          <w:highlight w:val="white"/>
        </w:rPr>
      </w:pPr>
      <w:r>
        <w:rPr>
          <w:highlight w:val="white"/>
        </w:rPr>
        <w:t>Consolidada la base muestral y definidas las variables independientes queda como paso final elegir el mejor algoritmo</w:t>
      </w:r>
      <w:r>
        <w:t xml:space="preserve"> para cada l</w:t>
      </w:r>
      <w:r>
        <w:rPr>
          <w:highlight w:val="white"/>
        </w:rPr>
        <w:t>ocalidad, con el objetivo de predecir el valor unitario del alquiler en las parcelas de las ciudades elegidas. De esta manera, se evaluó la performance de cuatro algoritmos de inteligencia artificial:</w:t>
      </w:r>
    </w:p>
    <w:p w14:paraId="67F22961" w14:textId="77777777" w:rsidR="004034C6" w:rsidRDefault="004034C6">
      <w:pPr>
        <w:shd w:val="clear" w:color="auto" w:fill="FFFFFF"/>
        <w:spacing w:line="240" w:lineRule="auto"/>
        <w:jc w:val="both"/>
        <w:rPr>
          <w:highlight w:val="white"/>
        </w:rPr>
      </w:pPr>
    </w:p>
    <w:p w14:paraId="502A69DF" w14:textId="77777777" w:rsidR="004034C6" w:rsidRDefault="006C59F2">
      <w:pPr>
        <w:shd w:val="clear" w:color="auto" w:fill="FFFFFF"/>
        <w:spacing w:line="240" w:lineRule="auto"/>
        <w:jc w:val="both"/>
        <w:rPr>
          <w:highlight w:val="yellow"/>
        </w:rPr>
      </w:pPr>
      <w:r w:rsidRPr="00453EB4">
        <w:rPr>
          <w:b/>
          <w:highlight w:val="white"/>
          <w:lang w:val="en-US"/>
        </w:rPr>
        <w:t>QRF: Quantile Random Forest</w:t>
      </w:r>
      <w:r w:rsidRPr="00453EB4">
        <w:rPr>
          <w:highlight w:val="white"/>
          <w:lang w:val="en-US"/>
        </w:rPr>
        <w:t xml:space="preserve"> (</w:t>
      </w:r>
      <w:proofErr w:type="spellStart"/>
      <w:r w:rsidRPr="00453EB4">
        <w:rPr>
          <w:lang w:val="en-US"/>
        </w:rPr>
        <w:t>Meinshausen</w:t>
      </w:r>
      <w:proofErr w:type="spellEnd"/>
      <w:r w:rsidRPr="00453EB4">
        <w:rPr>
          <w:lang w:val="en-US"/>
        </w:rPr>
        <w:t>, 2006</w:t>
      </w:r>
      <w:r w:rsidRPr="00453EB4">
        <w:rPr>
          <w:highlight w:val="white"/>
          <w:lang w:val="en-US"/>
        </w:rPr>
        <w:t xml:space="preserve">). </w:t>
      </w:r>
      <w:r>
        <w:rPr>
          <w:highlight w:val="white"/>
        </w:rPr>
        <w:t xml:space="preserve">Es un algoritmo basado en árboles de regresión, por lo que es un método no lineal. Utiliza un procedimiento de </w:t>
      </w:r>
      <w:proofErr w:type="spellStart"/>
      <w:r>
        <w:rPr>
          <w:highlight w:val="white"/>
        </w:rPr>
        <w:t>remuestreo</w:t>
      </w:r>
      <w:proofErr w:type="spellEnd"/>
      <w:r>
        <w:rPr>
          <w:highlight w:val="white"/>
        </w:rPr>
        <w:t xml:space="preserve"> que permite generar, a partir de la muestra original, distintas muestras independientes entre sí, donde cada observación muestral tiene la misma probabilidad de ser elegida. El algoritmo entrena distintos árboles con las distintas muestras generadas de manera que el resultado final se compone de la mediana de los resultados de cada árbol de regresión.  </w:t>
      </w:r>
    </w:p>
    <w:p w14:paraId="062C5E9E" w14:textId="77777777" w:rsidR="004034C6" w:rsidRDefault="004034C6">
      <w:pPr>
        <w:shd w:val="clear" w:color="auto" w:fill="FFFFFF"/>
        <w:spacing w:line="240" w:lineRule="auto"/>
        <w:jc w:val="both"/>
        <w:rPr>
          <w:b/>
          <w:highlight w:val="white"/>
        </w:rPr>
      </w:pPr>
    </w:p>
    <w:p w14:paraId="6F367543" w14:textId="77777777" w:rsidR="004034C6" w:rsidRDefault="006C59F2">
      <w:pPr>
        <w:shd w:val="clear" w:color="auto" w:fill="FFFFFF"/>
        <w:spacing w:line="240" w:lineRule="auto"/>
        <w:jc w:val="both"/>
        <w:rPr>
          <w:highlight w:val="white"/>
        </w:rPr>
      </w:pPr>
      <w:r w:rsidRPr="00453EB4">
        <w:rPr>
          <w:b/>
          <w:highlight w:val="white"/>
          <w:lang w:val="en-US"/>
        </w:rPr>
        <w:t>GBM: Gradient Boosting Machine</w:t>
      </w:r>
      <w:r w:rsidRPr="00453EB4">
        <w:rPr>
          <w:highlight w:val="white"/>
          <w:lang w:val="en-US"/>
        </w:rPr>
        <w:t xml:space="preserve"> (Friedman, 2001). </w:t>
      </w:r>
      <w:r>
        <w:rPr>
          <w:highlight w:val="white"/>
        </w:rPr>
        <w:t xml:space="preserve">Es un algoritmo basado en árboles de regresión pero que se ensamblan por medio de un método de </w:t>
      </w:r>
      <w:proofErr w:type="spellStart"/>
      <w:r>
        <w:rPr>
          <w:highlight w:val="white"/>
        </w:rPr>
        <w:t>remuestreo</w:t>
      </w:r>
      <w:proofErr w:type="spellEnd"/>
      <w:r>
        <w:rPr>
          <w:highlight w:val="white"/>
        </w:rPr>
        <w:t xml:space="preserve"> conocido como “</w:t>
      </w:r>
      <w:proofErr w:type="spellStart"/>
      <w:r>
        <w:rPr>
          <w:highlight w:val="white"/>
        </w:rPr>
        <w:t>boosting</w:t>
      </w:r>
      <w:proofErr w:type="spellEnd"/>
      <w:r>
        <w:rPr>
          <w:highlight w:val="white"/>
        </w:rPr>
        <w:t>”, donde se tiene en cuenta el error de estimación para asignarle el peso a las observaciones de la muestra. Mientras mayor error, más probabilidad de aparecer en el siguiente set de entrenamiento con el objetivo de enfatizar los casos difíciles o complejos.</w:t>
      </w:r>
    </w:p>
    <w:p w14:paraId="173D8F71" w14:textId="77777777" w:rsidR="004034C6" w:rsidRDefault="004034C6">
      <w:pPr>
        <w:shd w:val="clear" w:color="auto" w:fill="FFFFFF"/>
        <w:spacing w:line="240" w:lineRule="auto"/>
        <w:jc w:val="both"/>
        <w:rPr>
          <w:b/>
          <w:highlight w:val="white"/>
        </w:rPr>
      </w:pPr>
    </w:p>
    <w:p w14:paraId="2FB49E85" w14:textId="77777777" w:rsidR="004034C6" w:rsidRDefault="006C59F2">
      <w:pPr>
        <w:shd w:val="clear" w:color="auto" w:fill="FFFFFF"/>
        <w:spacing w:line="240" w:lineRule="auto"/>
        <w:jc w:val="both"/>
        <w:rPr>
          <w:highlight w:val="yellow"/>
        </w:rPr>
      </w:pPr>
      <w:r w:rsidRPr="00453EB4">
        <w:rPr>
          <w:b/>
          <w:highlight w:val="white"/>
          <w:lang w:val="en-US"/>
        </w:rPr>
        <w:t>SVR: Support Vector Regression</w:t>
      </w:r>
      <w:r w:rsidRPr="00453EB4">
        <w:rPr>
          <w:highlight w:val="white"/>
          <w:lang w:val="en-US"/>
        </w:rPr>
        <w:t xml:space="preserve"> (Cortes &amp; </w:t>
      </w:r>
      <w:proofErr w:type="spellStart"/>
      <w:r w:rsidRPr="00453EB4">
        <w:rPr>
          <w:highlight w:val="white"/>
          <w:lang w:val="en-US"/>
        </w:rPr>
        <w:t>Vapnik</w:t>
      </w:r>
      <w:proofErr w:type="spellEnd"/>
      <w:r w:rsidRPr="00453EB4">
        <w:rPr>
          <w:highlight w:val="white"/>
          <w:lang w:val="en-US"/>
        </w:rPr>
        <w:t xml:space="preserve">, 1995). </w:t>
      </w:r>
      <w:r>
        <w:t xml:space="preserve">Este tipo de modelos operan con un clasificador definido por un hiperplano a través de funciones </w:t>
      </w:r>
      <w:proofErr w:type="spellStart"/>
      <w:r>
        <w:t>kernel</w:t>
      </w:r>
      <w:proofErr w:type="spellEnd"/>
      <w:r>
        <w:t xml:space="preserve"> (un clasificador lineal que permite resolver problemas no lineales). En términos simples, el algoritmo no considera como residuos aquellas observaciones con un error absoluto menor al valor determinado (</w:t>
      </w:r>
      <m:oMath>
        <m:r>
          <w:rPr>
            <w:rFonts w:ascii="Cambria Math" w:hAnsi="Cambria Math"/>
          </w:rPr>
          <m:t>ε</m:t>
        </m:r>
      </m:oMath>
      <w:r>
        <w:t xml:space="preserve">), sino que se penalizan aquellas que quedan por fuera de esos parámetros. Los elementos que se ubican sobre </w:t>
      </w:r>
      <m:oMath>
        <m:r>
          <w:rPr>
            <w:rFonts w:ascii="Cambria Math" w:hAnsi="Cambria Math"/>
          </w:rPr>
          <m:t>ε</m:t>
        </m:r>
      </m:oMath>
      <w:r>
        <w:t xml:space="preserve"> son </w:t>
      </w:r>
      <w:r>
        <w:lastRenderedPageBreak/>
        <w:t xml:space="preserve">los considerados vectores soporte (que le dan nombre al algoritmo). En este contexto, la regresión puede ser penalizada usando un parámetro de costo para evitar el sobreajuste </w:t>
      </w:r>
      <w:r>
        <w:rPr>
          <w:highlight w:val="white"/>
        </w:rPr>
        <w:t>(</w:t>
      </w:r>
      <w:proofErr w:type="spellStart"/>
      <w:r>
        <w:rPr>
          <w:highlight w:val="white"/>
        </w:rPr>
        <w:t>Hastie</w:t>
      </w:r>
      <w:proofErr w:type="spellEnd"/>
      <w:r>
        <w:rPr>
          <w:highlight w:val="white"/>
        </w:rPr>
        <w:t xml:space="preserve">, </w:t>
      </w:r>
      <w:proofErr w:type="spellStart"/>
      <w:r>
        <w:rPr>
          <w:highlight w:val="white"/>
        </w:rPr>
        <w:t>Tibshirani</w:t>
      </w:r>
      <w:proofErr w:type="spellEnd"/>
      <w:r>
        <w:rPr>
          <w:highlight w:val="white"/>
        </w:rPr>
        <w:t>, Friedman &amp; Friedman, 2009).</w:t>
      </w:r>
    </w:p>
    <w:p w14:paraId="3F321E32" w14:textId="77777777" w:rsidR="004034C6" w:rsidRDefault="004034C6">
      <w:pPr>
        <w:shd w:val="clear" w:color="auto" w:fill="FFFFFF"/>
        <w:spacing w:line="240" w:lineRule="auto"/>
        <w:jc w:val="both"/>
        <w:rPr>
          <w:b/>
          <w:highlight w:val="white"/>
        </w:rPr>
      </w:pPr>
    </w:p>
    <w:p w14:paraId="00BD41C1" w14:textId="77777777" w:rsidR="004034C6" w:rsidRDefault="006C59F2">
      <w:pPr>
        <w:shd w:val="clear" w:color="auto" w:fill="FFFFFF"/>
        <w:spacing w:line="240" w:lineRule="auto"/>
        <w:jc w:val="both"/>
        <w:rPr>
          <w:highlight w:val="white"/>
        </w:rPr>
      </w:pPr>
      <w:r>
        <w:rPr>
          <w:b/>
          <w:highlight w:val="white"/>
        </w:rPr>
        <w:t xml:space="preserve">STK: </w:t>
      </w:r>
      <w:proofErr w:type="spellStart"/>
      <w:r>
        <w:rPr>
          <w:b/>
          <w:highlight w:val="white"/>
        </w:rPr>
        <w:t>Stacking</w:t>
      </w:r>
      <w:proofErr w:type="spellEnd"/>
      <w:r>
        <w:rPr>
          <w:b/>
          <w:highlight w:val="white"/>
        </w:rPr>
        <w:t xml:space="preserve"> </w:t>
      </w:r>
      <w:r>
        <w:rPr>
          <w:highlight w:val="white"/>
        </w:rPr>
        <w:t>(</w:t>
      </w:r>
      <w:proofErr w:type="spellStart"/>
      <w:r>
        <w:rPr>
          <w:highlight w:val="white"/>
        </w:rPr>
        <w:t>Wolpert</w:t>
      </w:r>
      <w:proofErr w:type="spellEnd"/>
      <w:r>
        <w:rPr>
          <w:highlight w:val="white"/>
        </w:rPr>
        <w:t>, 1992). El algoritmo permite combinar/ensamblar distintos algoritmos. El ensamble se realiza en dos pasos: el primero consiste en predecir y recolectar el resultado de cada uno de los métodos utilizados (QRF, GBM, SVR para este caso en particular) y conformar una nueva base de datos mediante validación cruzada. Luego, la nueva base de datos se utiliza como base para que otro algoritmo (modelo lineal generalizado) se entrene para resolver el problema.</w:t>
      </w:r>
    </w:p>
    <w:p w14:paraId="77903791" w14:textId="77777777" w:rsidR="004034C6" w:rsidRDefault="004034C6">
      <w:pPr>
        <w:shd w:val="clear" w:color="auto" w:fill="FFFFFF"/>
        <w:spacing w:line="240" w:lineRule="auto"/>
        <w:jc w:val="both"/>
        <w:rPr>
          <w:highlight w:val="white"/>
        </w:rPr>
      </w:pPr>
    </w:p>
    <w:p w14:paraId="72B0A731" w14:textId="77777777" w:rsidR="004034C6" w:rsidRDefault="006C59F2">
      <w:pPr>
        <w:shd w:val="clear" w:color="auto" w:fill="FFFFFF"/>
        <w:spacing w:line="240" w:lineRule="auto"/>
        <w:jc w:val="both"/>
      </w:pPr>
      <w:r>
        <w:rPr>
          <w:highlight w:val="white"/>
        </w:rPr>
        <w:t>También se evaluó la mejora en la capacidad predictiva incorporando la dependencia espacial en los residuos, es decir modelando los errores en función de las coordenadas mediante el algoritmo K-</w:t>
      </w:r>
      <w:proofErr w:type="spellStart"/>
      <w:r>
        <w:rPr>
          <w:highlight w:val="white"/>
        </w:rPr>
        <w:t>Nearest</w:t>
      </w:r>
      <w:proofErr w:type="spellEnd"/>
      <w:r>
        <w:rPr>
          <w:highlight w:val="white"/>
        </w:rPr>
        <w:t xml:space="preserve"> </w:t>
      </w:r>
      <w:proofErr w:type="spellStart"/>
      <w:r>
        <w:rPr>
          <w:highlight w:val="white"/>
        </w:rPr>
        <w:t>Neighbor</w:t>
      </w:r>
      <w:proofErr w:type="spellEnd"/>
      <w:r>
        <w:rPr>
          <w:highlight w:val="white"/>
        </w:rPr>
        <w:t xml:space="preserve"> (</w:t>
      </w:r>
      <w:proofErr w:type="spellStart"/>
      <w:r>
        <w:rPr>
          <w:highlight w:val="white"/>
        </w:rPr>
        <w:t>kknn</w:t>
      </w:r>
      <w:proofErr w:type="spellEnd"/>
      <w:r>
        <w:rPr>
          <w:highlight w:val="white"/>
        </w:rPr>
        <w:t xml:space="preserve">). </w:t>
      </w:r>
      <w:r>
        <w:t>El algoritmo KKNN (</w:t>
      </w:r>
      <w:proofErr w:type="spellStart"/>
      <w:r>
        <w:t>Hechenbichler</w:t>
      </w:r>
      <w:proofErr w:type="spellEnd"/>
      <w:r>
        <w:t xml:space="preserve"> et al., 2004) es una extensión del algoritmo de k-vecinos más cercanos, pero basada en la idea de que las observaciones del set de entrenamiento que se encuentren particularmente cerca de la observación a clasificar deberían tener un peso mayor en la decisión que aquellos vecinos que están más alejados.</w:t>
      </w:r>
    </w:p>
    <w:p w14:paraId="7E0AEF5E" w14:textId="77777777" w:rsidR="004034C6" w:rsidRDefault="004034C6">
      <w:pPr>
        <w:shd w:val="clear" w:color="auto" w:fill="FFFFFF"/>
        <w:spacing w:line="240" w:lineRule="auto"/>
        <w:jc w:val="both"/>
      </w:pPr>
    </w:p>
    <w:p w14:paraId="048DF0FF" w14:textId="77777777" w:rsidR="004034C6" w:rsidRDefault="006C59F2">
      <w:pPr>
        <w:spacing w:line="240" w:lineRule="auto"/>
        <w:jc w:val="both"/>
      </w:pPr>
      <w:r>
        <w:t xml:space="preserve">Si se detecta que los residuos obtenidos mediante el algoritmo presentan autocorrelación espacial, no corregir este sesgo podría llevar a la aplicación de un modelo que, en términos generales tenga un residuo normalmente distribuido con media igual a cero y desviación estándar </w:t>
      </w:r>
      <m:oMath>
        <m:r>
          <w:rPr>
            <w:rFonts w:ascii="Cambria Math" w:hAnsi="Cambria Math"/>
          </w:rPr>
          <m:t>σ</m:t>
        </m:r>
      </m:oMath>
      <w:r>
        <w:t xml:space="preserve">, pero que localmente arroje errores considerables. Para salvar este sesgo originado en la estructura de dependencia espacial de los datos, se procede a modelar los residuos y sumarlos a la estimación original en una segunda instancia. Considerando que la naturaleza de la información es espacial, resulta razonable incorporar la autocorrelación espacial en el análisis en caso de que no llegue a ser capturada por los algoritmos antes definidos. </w:t>
      </w:r>
    </w:p>
    <w:p w14:paraId="54632640" w14:textId="77777777" w:rsidR="004034C6" w:rsidRDefault="004034C6">
      <w:pPr>
        <w:spacing w:line="240" w:lineRule="auto"/>
        <w:jc w:val="both"/>
      </w:pPr>
    </w:p>
    <w:p w14:paraId="7ABF4741" w14:textId="77777777" w:rsidR="004034C6" w:rsidRDefault="006C59F2">
      <w:pPr>
        <w:shd w:val="clear" w:color="auto" w:fill="FFFFFF"/>
        <w:spacing w:line="240" w:lineRule="auto"/>
        <w:jc w:val="both"/>
        <w:rPr>
          <w:highlight w:val="white"/>
        </w:rPr>
      </w:pPr>
      <w:r>
        <w:rPr>
          <w:highlight w:val="white"/>
        </w:rPr>
        <w:t xml:space="preserve">Para evaluar la capacidad predictiva en cada localidad se realizó un proceso de validación cruzada, el cual implica subdividir la muestra en 10 grupos, aislar uno de ellos, estimar los modelos utilizando los datos de los 9 grupos restantes y medir su capacidad predictiva en el grupo extraído. El procedimiento continúa de manera iterativa hasta que cada uno de los 10 grupos fue evaluado fuera de la muestra. Para medir el nivel de precisión de cada modelo se utilizó el error relativo promedio en valor absoluto (MAPE). El MAPE total para la predicción de alquileres resultó igual a 15,2%. Para el caso de la Ciudad de Córdoba y Río Cuarto el modelo con mejor ajuste resultó ser QRF y el MAPE 15,6% y 13,3% respectivamente. El modelo con mejor ajuste para San Francisco fue SVR con un error de 16,2%. El algoritmo con mejores resultados para Villa Carlos Paz y Villa María fue STK con un </w:t>
      </w:r>
      <w:proofErr w:type="spellStart"/>
      <w:r>
        <w:rPr>
          <w:highlight w:val="white"/>
        </w:rPr>
        <w:t>mape</w:t>
      </w:r>
      <w:proofErr w:type="spellEnd"/>
      <w:r>
        <w:rPr>
          <w:highlight w:val="white"/>
        </w:rPr>
        <w:t xml:space="preserve"> de 11,5% y 15,2% respectivamente; sin embargo, para el caso de Villa </w:t>
      </w:r>
      <w:r>
        <w:rPr>
          <w:highlight w:val="white"/>
        </w:rPr>
        <w:lastRenderedPageBreak/>
        <w:t xml:space="preserve">Carlos Paz se encontró una fuerte dependencia espacial en los residuos por lo que se aplicó también el algoritmo </w:t>
      </w:r>
      <w:proofErr w:type="spellStart"/>
      <w:r>
        <w:rPr>
          <w:highlight w:val="white"/>
        </w:rPr>
        <w:t>kknn</w:t>
      </w:r>
      <w:proofErr w:type="spellEnd"/>
      <w:r>
        <w:rPr>
          <w:highlight w:val="white"/>
        </w:rPr>
        <w:t xml:space="preserve"> (STK_KKNN).</w:t>
      </w:r>
    </w:p>
    <w:p w14:paraId="171D78EF" w14:textId="77777777" w:rsidR="004034C6" w:rsidRDefault="004034C6">
      <w:pPr>
        <w:shd w:val="clear" w:color="auto" w:fill="FFFFFF"/>
        <w:spacing w:line="240" w:lineRule="auto"/>
        <w:jc w:val="both"/>
        <w:rPr>
          <w:highlight w:val="white"/>
        </w:rPr>
      </w:pPr>
    </w:p>
    <w:p w14:paraId="60B52717" w14:textId="77777777" w:rsidR="004034C6" w:rsidRDefault="006C59F2">
      <w:pPr>
        <w:shd w:val="clear" w:color="auto" w:fill="FFFFFF"/>
        <w:spacing w:line="240" w:lineRule="auto"/>
        <w:jc w:val="both"/>
        <w:rPr>
          <w:highlight w:val="white"/>
        </w:rPr>
      </w:pPr>
      <w:r>
        <w:rPr>
          <w:highlight w:val="white"/>
        </w:rPr>
        <w:t xml:space="preserve">Con los algoritmos seleccionados y en base a la muestra de mercado se predicen todas las </w:t>
      </w:r>
      <w:r>
        <w:t>parcelas</w:t>
      </w:r>
      <w:r>
        <w:rPr>
          <w:highlight w:val="white"/>
        </w:rPr>
        <w:t xml:space="preserve"> de la base catastral de las ciudades, a excepción de aquellas que no se corresponden con las características relevadas, como lo son las grandes superficies industriales y comerciales, espacios verdes, hospitales, entre otras. De esta manera, la base parcelaria queda reducida a aquellos inmuebles que se relacionan estrechamente con los objetivos del estudio.</w:t>
      </w:r>
    </w:p>
    <w:p w14:paraId="20A97506" w14:textId="77777777" w:rsidR="004034C6" w:rsidRDefault="004034C6">
      <w:pPr>
        <w:shd w:val="clear" w:color="auto" w:fill="FFFFFF"/>
        <w:spacing w:line="240" w:lineRule="auto"/>
        <w:jc w:val="both"/>
        <w:rPr>
          <w:highlight w:val="white"/>
        </w:rPr>
      </w:pPr>
    </w:p>
    <w:p w14:paraId="1FFB2E97" w14:textId="77777777" w:rsidR="004034C6" w:rsidRDefault="006C59F2">
      <w:pPr>
        <w:shd w:val="clear" w:color="auto" w:fill="FFFFFF"/>
        <w:spacing w:line="240" w:lineRule="auto"/>
        <w:jc w:val="both"/>
      </w:pPr>
      <w:r>
        <w:rPr>
          <w:highlight w:val="white"/>
        </w:rPr>
        <w:t>La Tabla 1 presenta las estadísticas descriptivas del VUA (mensual) predicho. La mediana de la ciudad de Córdoba se estimó en $400, con mínimos de $50 y máximos de $1.000. Por su parte, las ciudades de Río Cuarto, San Francisco y Villa María tienen valores medianos y máximos más bajos que los de la capital cordobesa. Las estimaciones de Río Cuarto oscilaron entre los valores de $36 y $724, con un VUA mediano de $311. En San Francisco la mediana se estimó en $257 con valores mínimos de $257 y máximos de $442, además la desviación estándar de esta ciudad fue baja ($31). Villa María también fue estimada con un bajo desvío estándar ($30) y la mediana del VUA fue de $253. Por último, el VUA mediano de la ciudad de Villa Carlos Paz fue estimado en $460, el más alto de las ciudades considerados, este fenómeno puede ser explicado por la característica turística de la ciudad, siendo uno de los destinos más importantes de la provincia para vacacionar es razonable espe</w:t>
      </w:r>
      <w:r>
        <w:t xml:space="preserve">rar una presión estacional a la suba sobre el mercado de inmuebles alquilables. Otra explicación factible de los altos valores de los alquileres en Villa Carlos Paz es la migración de la ciudad de Córdoba hacia lugares más amplios con más accesibilidad a patios que originó la pandemia COVID 19. </w:t>
      </w:r>
    </w:p>
    <w:p w14:paraId="02370E4E" w14:textId="77777777" w:rsidR="004034C6" w:rsidRDefault="004034C6">
      <w:pPr>
        <w:shd w:val="clear" w:color="auto" w:fill="FFFFFF"/>
        <w:spacing w:line="240" w:lineRule="auto"/>
        <w:jc w:val="both"/>
        <w:rPr>
          <w:highlight w:val="white"/>
        </w:rPr>
      </w:pPr>
    </w:p>
    <w:p w14:paraId="152C89B3" w14:textId="77777777" w:rsidR="004034C6" w:rsidRPr="00453EB4" w:rsidRDefault="006C59F2">
      <w:pPr>
        <w:spacing w:line="240" w:lineRule="auto"/>
        <w:jc w:val="center"/>
        <w:rPr>
          <w:sz w:val="20"/>
          <w:szCs w:val="20"/>
        </w:rPr>
      </w:pPr>
      <w:r w:rsidRPr="00453EB4">
        <w:rPr>
          <w:sz w:val="20"/>
          <w:szCs w:val="20"/>
        </w:rPr>
        <w:t xml:space="preserve">Tabla 1. Estadísticas descriptivas de la predicción del Valor Unitario del Alquiler ($/m2) </w:t>
      </w:r>
    </w:p>
    <w:tbl>
      <w:tblPr>
        <w:tblStyle w:val="a"/>
        <w:tblW w:w="80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0"/>
        <w:gridCol w:w="1080"/>
        <w:gridCol w:w="1275"/>
        <w:gridCol w:w="1275"/>
        <w:gridCol w:w="1095"/>
        <w:gridCol w:w="1035"/>
        <w:gridCol w:w="585"/>
      </w:tblGrid>
      <w:tr w:rsidR="004034C6" w14:paraId="15EB9CCC" w14:textId="77777777">
        <w:trPr>
          <w:jc w:val="center"/>
        </w:trPr>
        <w:tc>
          <w:tcPr>
            <w:tcW w:w="1710" w:type="dxa"/>
            <w:tcBorders>
              <w:left w:val="nil"/>
              <w:right w:val="nil"/>
            </w:tcBorders>
            <w:shd w:val="clear" w:color="auto" w:fill="auto"/>
            <w:tcMar>
              <w:top w:w="17" w:type="dxa"/>
              <w:left w:w="17" w:type="dxa"/>
              <w:bottom w:w="17" w:type="dxa"/>
              <w:right w:w="17" w:type="dxa"/>
            </w:tcMar>
            <w:vAlign w:val="center"/>
          </w:tcPr>
          <w:p w14:paraId="68AB56D1" w14:textId="77777777" w:rsidR="004034C6" w:rsidRDefault="006C59F2">
            <w:pPr>
              <w:widowControl w:val="0"/>
              <w:spacing w:line="240" w:lineRule="auto"/>
              <w:ind w:left="121"/>
              <w:jc w:val="both"/>
              <w:rPr>
                <w:b/>
                <w:sz w:val="18"/>
                <w:szCs w:val="18"/>
              </w:rPr>
            </w:pPr>
            <w:r>
              <w:rPr>
                <w:b/>
                <w:sz w:val="18"/>
                <w:szCs w:val="18"/>
              </w:rPr>
              <w:t xml:space="preserve">Ciudad </w:t>
            </w:r>
          </w:p>
        </w:tc>
        <w:tc>
          <w:tcPr>
            <w:tcW w:w="1080" w:type="dxa"/>
            <w:tcBorders>
              <w:left w:val="nil"/>
              <w:right w:val="nil"/>
            </w:tcBorders>
            <w:shd w:val="clear" w:color="auto" w:fill="auto"/>
            <w:tcMar>
              <w:top w:w="17" w:type="dxa"/>
              <w:left w:w="17" w:type="dxa"/>
              <w:bottom w:w="17" w:type="dxa"/>
              <w:right w:w="17" w:type="dxa"/>
            </w:tcMar>
            <w:vAlign w:val="center"/>
          </w:tcPr>
          <w:p w14:paraId="102E8903" w14:textId="77777777" w:rsidR="004034C6" w:rsidRDefault="006C59F2">
            <w:pPr>
              <w:widowControl w:val="0"/>
              <w:spacing w:line="240" w:lineRule="auto"/>
              <w:jc w:val="center"/>
              <w:rPr>
                <w:b/>
                <w:sz w:val="18"/>
                <w:szCs w:val="18"/>
              </w:rPr>
            </w:pPr>
            <w:r>
              <w:rPr>
                <w:b/>
                <w:sz w:val="18"/>
                <w:szCs w:val="18"/>
              </w:rPr>
              <w:t xml:space="preserve">Parcelas </w:t>
            </w:r>
          </w:p>
        </w:tc>
        <w:tc>
          <w:tcPr>
            <w:tcW w:w="1275" w:type="dxa"/>
            <w:tcBorders>
              <w:left w:val="nil"/>
              <w:right w:val="nil"/>
            </w:tcBorders>
            <w:shd w:val="clear" w:color="auto" w:fill="auto"/>
            <w:tcMar>
              <w:top w:w="17" w:type="dxa"/>
              <w:left w:w="17" w:type="dxa"/>
              <w:bottom w:w="17" w:type="dxa"/>
              <w:right w:w="17" w:type="dxa"/>
            </w:tcMar>
            <w:vAlign w:val="center"/>
          </w:tcPr>
          <w:p w14:paraId="644AFFF2" w14:textId="77777777" w:rsidR="004034C6" w:rsidRDefault="006C59F2">
            <w:pPr>
              <w:widowControl w:val="0"/>
              <w:spacing w:line="240" w:lineRule="auto"/>
              <w:jc w:val="center"/>
              <w:rPr>
                <w:b/>
                <w:sz w:val="18"/>
                <w:szCs w:val="18"/>
              </w:rPr>
            </w:pPr>
            <w:r>
              <w:rPr>
                <w:b/>
                <w:sz w:val="18"/>
                <w:szCs w:val="18"/>
              </w:rPr>
              <w:t xml:space="preserve">Mediana </w:t>
            </w:r>
          </w:p>
        </w:tc>
        <w:tc>
          <w:tcPr>
            <w:tcW w:w="1275" w:type="dxa"/>
            <w:tcBorders>
              <w:left w:val="nil"/>
              <w:right w:val="nil"/>
            </w:tcBorders>
            <w:shd w:val="clear" w:color="auto" w:fill="auto"/>
            <w:tcMar>
              <w:top w:w="17" w:type="dxa"/>
              <w:left w:w="17" w:type="dxa"/>
              <w:bottom w:w="17" w:type="dxa"/>
              <w:right w:w="17" w:type="dxa"/>
            </w:tcMar>
            <w:vAlign w:val="center"/>
          </w:tcPr>
          <w:p w14:paraId="2C49C82C" w14:textId="77777777" w:rsidR="004034C6" w:rsidRDefault="006C59F2">
            <w:pPr>
              <w:widowControl w:val="0"/>
              <w:spacing w:line="240" w:lineRule="auto"/>
              <w:jc w:val="center"/>
              <w:rPr>
                <w:b/>
                <w:sz w:val="18"/>
                <w:szCs w:val="18"/>
              </w:rPr>
            </w:pPr>
            <w:r>
              <w:rPr>
                <w:b/>
                <w:sz w:val="18"/>
                <w:szCs w:val="18"/>
              </w:rPr>
              <w:t xml:space="preserve">Media </w:t>
            </w:r>
          </w:p>
        </w:tc>
        <w:tc>
          <w:tcPr>
            <w:tcW w:w="1095" w:type="dxa"/>
            <w:tcBorders>
              <w:left w:val="nil"/>
              <w:right w:val="nil"/>
            </w:tcBorders>
            <w:shd w:val="clear" w:color="auto" w:fill="auto"/>
            <w:tcMar>
              <w:top w:w="17" w:type="dxa"/>
              <w:left w:w="17" w:type="dxa"/>
              <w:bottom w:w="17" w:type="dxa"/>
              <w:right w:w="17" w:type="dxa"/>
            </w:tcMar>
            <w:vAlign w:val="center"/>
          </w:tcPr>
          <w:p w14:paraId="259110FC" w14:textId="77777777" w:rsidR="004034C6" w:rsidRDefault="006C59F2">
            <w:pPr>
              <w:widowControl w:val="0"/>
              <w:spacing w:line="240" w:lineRule="auto"/>
              <w:jc w:val="center"/>
              <w:rPr>
                <w:b/>
                <w:sz w:val="18"/>
                <w:szCs w:val="18"/>
              </w:rPr>
            </w:pPr>
            <w:r>
              <w:rPr>
                <w:b/>
                <w:sz w:val="18"/>
                <w:szCs w:val="18"/>
              </w:rPr>
              <w:t xml:space="preserve">Min </w:t>
            </w:r>
          </w:p>
        </w:tc>
        <w:tc>
          <w:tcPr>
            <w:tcW w:w="1035" w:type="dxa"/>
            <w:tcBorders>
              <w:left w:val="nil"/>
              <w:right w:val="nil"/>
            </w:tcBorders>
            <w:shd w:val="clear" w:color="auto" w:fill="auto"/>
            <w:tcMar>
              <w:top w:w="17" w:type="dxa"/>
              <w:left w:w="17" w:type="dxa"/>
              <w:bottom w:w="17" w:type="dxa"/>
              <w:right w:w="17" w:type="dxa"/>
            </w:tcMar>
            <w:vAlign w:val="center"/>
          </w:tcPr>
          <w:p w14:paraId="49455496" w14:textId="77777777" w:rsidR="004034C6" w:rsidRDefault="006C59F2">
            <w:pPr>
              <w:widowControl w:val="0"/>
              <w:spacing w:line="240" w:lineRule="auto"/>
              <w:jc w:val="center"/>
              <w:rPr>
                <w:b/>
                <w:sz w:val="18"/>
                <w:szCs w:val="18"/>
              </w:rPr>
            </w:pPr>
            <w:r>
              <w:rPr>
                <w:b/>
                <w:sz w:val="18"/>
                <w:szCs w:val="18"/>
              </w:rPr>
              <w:t xml:space="preserve">Max </w:t>
            </w:r>
          </w:p>
        </w:tc>
        <w:tc>
          <w:tcPr>
            <w:tcW w:w="585" w:type="dxa"/>
            <w:tcBorders>
              <w:left w:val="nil"/>
              <w:right w:val="nil"/>
            </w:tcBorders>
            <w:shd w:val="clear" w:color="auto" w:fill="auto"/>
            <w:tcMar>
              <w:top w:w="17" w:type="dxa"/>
              <w:left w:w="17" w:type="dxa"/>
              <w:bottom w:w="17" w:type="dxa"/>
              <w:right w:w="17" w:type="dxa"/>
            </w:tcMar>
            <w:vAlign w:val="center"/>
          </w:tcPr>
          <w:p w14:paraId="03CACB73" w14:textId="77777777" w:rsidR="004034C6" w:rsidRDefault="006C59F2">
            <w:pPr>
              <w:widowControl w:val="0"/>
              <w:spacing w:line="240" w:lineRule="auto"/>
              <w:jc w:val="center"/>
              <w:rPr>
                <w:b/>
                <w:sz w:val="18"/>
                <w:szCs w:val="18"/>
              </w:rPr>
            </w:pPr>
            <w:r>
              <w:rPr>
                <w:b/>
                <w:sz w:val="18"/>
                <w:szCs w:val="18"/>
              </w:rPr>
              <w:t>DE</w:t>
            </w:r>
          </w:p>
        </w:tc>
      </w:tr>
      <w:tr w:rsidR="004034C6" w14:paraId="5FF6E3C7" w14:textId="77777777">
        <w:trPr>
          <w:jc w:val="center"/>
        </w:trPr>
        <w:tc>
          <w:tcPr>
            <w:tcW w:w="1710" w:type="dxa"/>
            <w:tcBorders>
              <w:left w:val="nil"/>
              <w:bottom w:val="single" w:sz="8" w:space="0" w:color="666666"/>
              <w:right w:val="nil"/>
            </w:tcBorders>
            <w:shd w:val="clear" w:color="auto" w:fill="auto"/>
            <w:tcMar>
              <w:top w:w="17" w:type="dxa"/>
              <w:left w:w="17" w:type="dxa"/>
              <w:bottom w:w="17" w:type="dxa"/>
              <w:right w:w="17" w:type="dxa"/>
            </w:tcMar>
            <w:vAlign w:val="center"/>
          </w:tcPr>
          <w:p w14:paraId="0AEB036C" w14:textId="77777777" w:rsidR="004034C6" w:rsidRDefault="006C59F2">
            <w:pPr>
              <w:widowControl w:val="0"/>
              <w:spacing w:line="240" w:lineRule="auto"/>
              <w:ind w:left="121"/>
              <w:jc w:val="both"/>
              <w:rPr>
                <w:sz w:val="18"/>
                <w:szCs w:val="18"/>
              </w:rPr>
            </w:pPr>
            <w:r>
              <w:rPr>
                <w:sz w:val="18"/>
                <w:szCs w:val="18"/>
              </w:rPr>
              <w:t xml:space="preserve">Córdoba </w:t>
            </w:r>
          </w:p>
        </w:tc>
        <w:tc>
          <w:tcPr>
            <w:tcW w:w="1080" w:type="dxa"/>
            <w:tcBorders>
              <w:left w:val="nil"/>
              <w:bottom w:val="single" w:sz="8" w:space="0" w:color="666666"/>
              <w:right w:val="nil"/>
            </w:tcBorders>
            <w:shd w:val="clear" w:color="auto" w:fill="auto"/>
            <w:tcMar>
              <w:top w:w="17" w:type="dxa"/>
              <w:left w:w="17" w:type="dxa"/>
              <w:bottom w:w="17" w:type="dxa"/>
              <w:right w:w="17" w:type="dxa"/>
            </w:tcMar>
            <w:vAlign w:val="center"/>
          </w:tcPr>
          <w:p w14:paraId="74EEFA62" w14:textId="77777777" w:rsidR="004034C6" w:rsidRDefault="006C59F2">
            <w:pPr>
              <w:widowControl w:val="0"/>
              <w:spacing w:line="240" w:lineRule="auto"/>
              <w:jc w:val="center"/>
              <w:rPr>
                <w:sz w:val="18"/>
                <w:szCs w:val="18"/>
              </w:rPr>
            </w:pPr>
            <w:r>
              <w:rPr>
                <w:sz w:val="18"/>
                <w:szCs w:val="18"/>
              </w:rPr>
              <w:t xml:space="preserve">492.634 </w:t>
            </w:r>
          </w:p>
        </w:tc>
        <w:tc>
          <w:tcPr>
            <w:tcW w:w="1275" w:type="dxa"/>
            <w:tcBorders>
              <w:left w:val="nil"/>
              <w:bottom w:val="single" w:sz="8" w:space="0" w:color="666666"/>
              <w:right w:val="nil"/>
            </w:tcBorders>
            <w:shd w:val="clear" w:color="auto" w:fill="auto"/>
            <w:tcMar>
              <w:top w:w="17" w:type="dxa"/>
              <w:left w:w="17" w:type="dxa"/>
              <w:bottom w:w="17" w:type="dxa"/>
              <w:right w:w="17" w:type="dxa"/>
            </w:tcMar>
            <w:vAlign w:val="center"/>
          </w:tcPr>
          <w:p w14:paraId="0F086BA1" w14:textId="77777777" w:rsidR="004034C6" w:rsidRDefault="006C59F2">
            <w:pPr>
              <w:widowControl w:val="0"/>
              <w:spacing w:line="240" w:lineRule="auto"/>
              <w:jc w:val="center"/>
              <w:rPr>
                <w:sz w:val="18"/>
                <w:szCs w:val="18"/>
              </w:rPr>
            </w:pPr>
            <w:r>
              <w:rPr>
                <w:sz w:val="18"/>
                <w:szCs w:val="18"/>
              </w:rPr>
              <w:t xml:space="preserve">400 </w:t>
            </w:r>
          </w:p>
        </w:tc>
        <w:tc>
          <w:tcPr>
            <w:tcW w:w="1275" w:type="dxa"/>
            <w:tcBorders>
              <w:left w:val="nil"/>
              <w:bottom w:val="single" w:sz="8" w:space="0" w:color="666666"/>
              <w:right w:val="nil"/>
            </w:tcBorders>
            <w:shd w:val="clear" w:color="auto" w:fill="auto"/>
            <w:tcMar>
              <w:top w:w="17" w:type="dxa"/>
              <w:left w:w="17" w:type="dxa"/>
              <w:bottom w:w="17" w:type="dxa"/>
              <w:right w:w="17" w:type="dxa"/>
            </w:tcMar>
            <w:vAlign w:val="center"/>
          </w:tcPr>
          <w:p w14:paraId="5115B3DD" w14:textId="77777777" w:rsidR="004034C6" w:rsidRDefault="006C59F2">
            <w:pPr>
              <w:widowControl w:val="0"/>
              <w:spacing w:line="240" w:lineRule="auto"/>
              <w:jc w:val="center"/>
              <w:rPr>
                <w:sz w:val="18"/>
                <w:szCs w:val="18"/>
              </w:rPr>
            </w:pPr>
            <w:r>
              <w:rPr>
                <w:sz w:val="18"/>
                <w:szCs w:val="18"/>
              </w:rPr>
              <w:t xml:space="preserve">416 </w:t>
            </w:r>
          </w:p>
        </w:tc>
        <w:tc>
          <w:tcPr>
            <w:tcW w:w="1095" w:type="dxa"/>
            <w:tcBorders>
              <w:left w:val="nil"/>
              <w:bottom w:val="single" w:sz="8" w:space="0" w:color="666666"/>
              <w:right w:val="nil"/>
            </w:tcBorders>
            <w:shd w:val="clear" w:color="auto" w:fill="auto"/>
            <w:tcMar>
              <w:top w:w="17" w:type="dxa"/>
              <w:left w:w="17" w:type="dxa"/>
              <w:bottom w:w="17" w:type="dxa"/>
              <w:right w:w="17" w:type="dxa"/>
            </w:tcMar>
            <w:vAlign w:val="center"/>
          </w:tcPr>
          <w:p w14:paraId="48A1FDDA" w14:textId="77777777" w:rsidR="004034C6" w:rsidRDefault="006C59F2">
            <w:pPr>
              <w:widowControl w:val="0"/>
              <w:spacing w:line="240" w:lineRule="auto"/>
              <w:jc w:val="center"/>
              <w:rPr>
                <w:sz w:val="18"/>
                <w:szCs w:val="18"/>
              </w:rPr>
            </w:pPr>
            <w:r>
              <w:rPr>
                <w:sz w:val="18"/>
                <w:szCs w:val="18"/>
              </w:rPr>
              <w:t xml:space="preserve">50 </w:t>
            </w:r>
          </w:p>
        </w:tc>
        <w:tc>
          <w:tcPr>
            <w:tcW w:w="1035" w:type="dxa"/>
            <w:tcBorders>
              <w:left w:val="nil"/>
              <w:bottom w:val="single" w:sz="8" w:space="0" w:color="666666"/>
              <w:right w:val="nil"/>
            </w:tcBorders>
            <w:shd w:val="clear" w:color="auto" w:fill="auto"/>
            <w:tcMar>
              <w:top w:w="17" w:type="dxa"/>
              <w:left w:w="17" w:type="dxa"/>
              <w:bottom w:w="17" w:type="dxa"/>
              <w:right w:w="17" w:type="dxa"/>
            </w:tcMar>
            <w:vAlign w:val="center"/>
          </w:tcPr>
          <w:p w14:paraId="09946280" w14:textId="77777777" w:rsidR="004034C6" w:rsidRDefault="006C59F2">
            <w:pPr>
              <w:widowControl w:val="0"/>
              <w:spacing w:line="240" w:lineRule="auto"/>
              <w:jc w:val="center"/>
              <w:rPr>
                <w:sz w:val="18"/>
                <w:szCs w:val="18"/>
              </w:rPr>
            </w:pPr>
            <w:r>
              <w:rPr>
                <w:sz w:val="18"/>
                <w:szCs w:val="18"/>
              </w:rPr>
              <w:t xml:space="preserve">1.000 </w:t>
            </w:r>
          </w:p>
        </w:tc>
        <w:tc>
          <w:tcPr>
            <w:tcW w:w="585" w:type="dxa"/>
            <w:tcBorders>
              <w:left w:val="nil"/>
              <w:bottom w:val="single" w:sz="8" w:space="0" w:color="666666"/>
              <w:right w:val="nil"/>
            </w:tcBorders>
            <w:shd w:val="clear" w:color="auto" w:fill="auto"/>
            <w:tcMar>
              <w:top w:w="17" w:type="dxa"/>
              <w:left w:w="17" w:type="dxa"/>
              <w:bottom w:w="17" w:type="dxa"/>
              <w:right w:w="17" w:type="dxa"/>
            </w:tcMar>
            <w:vAlign w:val="center"/>
          </w:tcPr>
          <w:p w14:paraId="1C9374DC" w14:textId="77777777" w:rsidR="004034C6" w:rsidRDefault="006C59F2">
            <w:pPr>
              <w:widowControl w:val="0"/>
              <w:spacing w:line="240" w:lineRule="auto"/>
              <w:jc w:val="center"/>
              <w:rPr>
                <w:sz w:val="18"/>
                <w:szCs w:val="18"/>
              </w:rPr>
            </w:pPr>
            <w:r>
              <w:rPr>
                <w:sz w:val="18"/>
                <w:szCs w:val="18"/>
              </w:rPr>
              <w:t>68</w:t>
            </w:r>
          </w:p>
        </w:tc>
      </w:tr>
      <w:tr w:rsidR="004034C6" w14:paraId="602338CB" w14:textId="77777777">
        <w:trPr>
          <w:jc w:val="center"/>
        </w:trPr>
        <w:tc>
          <w:tcPr>
            <w:tcW w:w="171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1D8D2A8D" w14:textId="77777777" w:rsidR="004034C6" w:rsidRDefault="006C59F2">
            <w:pPr>
              <w:widowControl w:val="0"/>
              <w:spacing w:line="240" w:lineRule="auto"/>
              <w:ind w:left="126"/>
              <w:jc w:val="both"/>
              <w:rPr>
                <w:sz w:val="18"/>
                <w:szCs w:val="18"/>
              </w:rPr>
            </w:pPr>
            <w:r>
              <w:rPr>
                <w:sz w:val="18"/>
                <w:szCs w:val="18"/>
              </w:rPr>
              <w:t xml:space="preserve">Río Cuarto </w:t>
            </w:r>
          </w:p>
        </w:tc>
        <w:tc>
          <w:tcPr>
            <w:tcW w:w="108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4BA63438" w14:textId="77777777" w:rsidR="004034C6" w:rsidRDefault="006C59F2">
            <w:pPr>
              <w:widowControl w:val="0"/>
              <w:spacing w:line="240" w:lineRule="auto"/>
              <w:jc w:val="center"/>
              <w:rPr>
                <w:sz w:val="18"/>
                <w:szCs w:val="18"/>
              </w:rPr>
            </w:pPr>
            <w:r>
              <w:rPr>
                <w:sz w:val="18"/>
                <w:szCs w:val="18"/>
              </w:rPr>
              <w:t xml:space="preserve">76.080 </w:t>
            </w:r>
          </w:p>
        </w:tc>
        <w:tc>
          <w:tcPr>
            <w:tcW w:w="127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422E2FBF" w14:textId="77777777" w:rsidR="004034C6" w:rsidRDefault="006C59F2">
            <w:pPr>
              <w:widowControl w:val="0"/>
              <w:spacing w:line="240" w:lineRule="auto"/>
              <w:jc w:val="center"/>
              <w:rPr>
                <w:sz w:val="18"/>
                <w:szCs w:val="18"/>
              </w:rPr>
            </w:pPr>
            <w:r>
              <w:rPr>
                <w:sz w:val="18"/>
                <w:szCs w:val="18"/>
              </w:rPr>
              <w:t xml:space="preserve">311 </w:t>
            </w:r>
          </w:p>
        </w:tc>
        <w:tc>
          <w:tcPr>
            <w:tcW w:w="127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00EA7F58" w14:textId="77777777" w:rsidR="004034C6" w:rsidRDefault="006C59F2">
            <w:pPr>
              <w:widowControl w:val="0"/>
              <w:spacing w:line="240" w:lineRule="auto"/>
              <w:jc w:val="center"/>
              <w:rPr>
                <w:sz w:val="18"/>
                <w:szCs w:val="18"/>
              </w:rPr>
            </w:pPr>
            <w:r>
              <w:rPr>
                <w:sz w:val="18"/>
                <w:szCs w:val="18"/>
              </w:rPr>
              <w:t xml:space="preserve">311 </w:t>
            </w:r>
          </w:p>
        </w:tc>
        <w:tc>
          <w:tcPr>
            <w:tcW w:w="109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3F23F4FD" w14:textId="77777777" w:rsidR="004034C6" w:rsidRDefault="006C59F2">
            <w:pPr>
              <w:widowControl w:val="0"/>
              <w:spacing w:line="240" w:lineRule="auto"/>
              <w:jc w:val="center"/>
              <w:rPr>
                <w:sz w:val="18"/>
                <w:szCs w:val="18"/>
              </w:rPr>
            </w:pPr>
            <w:r>
              <w:rPr>
                <w:sz w:val="18"/>
                <w:szCs w:val="18"/>
              </w:rPr>
              <w:t xml:space="preserve">36 </w:t>
            </w:r>
          </w:p>
        </w:tc>
        <w:tc>
          <w:tcPr>
            <w:tcW w:w="103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617A5338" w14:textId="77777777" w:rsidR="004034C6" w:rsidRDefault="006C59F2">
            <w:pPr>
              <w:widowControl w:val="0"/>
              <w:spacing w:line="240" w:lineRule="auto"/>
              <w:jc w:val="center"/>
              <w:rPr>
                <w:sz w:val="18"/>
                <w:szCs w:val="18"/>
              </w:rPr>
            </w:pPr>
            <w:r>
              <w:rPr>
                <w:sz w:val="18"/>
                <w:szCs w:val="18"/>
              </w:rPr>
              <w:t xml:space="preserve">724 </w:t>
            </w:r>
          </w:p>
        </w:tc>
        <w:tc>
          <w:tcPr>
            <w:tcW w:w="58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2CD77153" w14:textId="77777777" w:rsidR="004034C6" w:rsidRDefault="006C59F2">
            <w:pPr>
              <w:widowControl w:val="0"/>
              <w:spacing w:line="240" w:lineRule="auto"/>
              <w:jc w:val="center"/>
              <w:rPr>
                <w:sz w:val="18"/>
                <w:szCs w:val="18"/>
              </w:rPr>
            </w:pPr>
            <w:r>
              <w:rPr>
                <w:sz w:val="18"/>
                <w:szCs w:val="18"/>
              </w:rPr>
              <w:t>31</w:t>
            </w:r>
          </w:p>
        </w:tc>
      </w:tr>
      <w:tr w:rsidR="004034C6" w14:paraId="5BC0C962" w14:textId="77777777">
        <w:trPr>
          <w:jc w:val="center"/>
        </w:trPr>
        <w:tc>
          <w:tcPr>
            <w:tcW w:w="171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4246B410" w14:textId="77777777" w:rsidR="004034C6" w:rsidRDefault="006C59F2">
            <w:pPr>
              <w:widowControl w:val="0"/>
              <w:spacing w:line="240" w:lineRule="auto"/>
              <w:ind w:left="120"/>
              <w:jc w:val="both"/>
              <w:rPr>
                <w:sz w:val="18"/>
                <w:szCs w:val="18"/>
              </w:rPr>
            </w:pPr>
            <w:r>
              <w:rPr>
                <w:sz w:val="18"/>
                <w:szCs w:val="18"/>
              </w:rPr>
              <w:t xml:space="preserve">San Francisco </w:t>
            </w:r>
          </w:p>
        </w:tc>
        <w:tc>
          <w:tcPr>
            <w:tcW w:w="108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2D76AE5E" w14:textId="77777777" w:rsidR="004034C6" w:rsidRDefault="006C59F2">
            <w:pPr>
              <w:widowControl w:val="0"/>
              <w:spacing w:line="240" w:lineRule="auto"/>
              <w:jc w:val="center"/>
              <w:rPr>
                <w:sz w:val="18"/>
                <w:szCs w:val="18"/>
              </w:rPr>
            </w:pPr>
            <w:r>
              <w:rPr>
                <w:sz w:val="18"/>
                <w:szCs w:val="18"/>
              </w:rPr>
              <w:t xml:space="preserve">28.416 </w:t>
            </w:r>
          </w:p>
        </w:tc>
        <w:tc>
          <w:tcPr>
            <w:tcW w:w="127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3D0C1CD9" w14:textId="77777777" w:rsidR="004034C6" w:rsidRDefault="006C59F2">
            <w:pPr>
              <w:widowControl w:val="0"/>
              <w:spacing w:line="240" w:lineRule="auto"/>
              <w:jc w:val="center"/>
              <w:rPr>
                <w:sz w:val="18"/>
                <w:szCs w:val="18"/>
              </w:rPr>
            </w:pPr>
            <w:r>
              <w:rPr>
                <w:sz w:val="18"/>
                <w:szCs w:val="18"/>
              </w:rPr>
              <w:t xml:space="preserve">354 </w:t>
            </w:r>
          </w:p>
        </w:tc>
        <w:tc>
          <w:tcPr>
            <w:tcW w:w="127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14BB7C5D" w14:textId="77777777" w:rsidR="004034C6" w:rsidRDefault="006C59F2">
            <w:pPr>
              <w:widowControl w:val="0"/>
              <w:spacing w:line="240" w:lineRule="auto"/>
              <w:jc w:val="center"/>
              <w:rPr>
                <w:sz w:val="18"/>
                <w:szCs w:val="18"/>
              </w:rPr>
            </w:pPr>
            <w:r>
              <w:rPr>
                <w:sz w:val="18"/>
                <w:szCs w:val="18"/>
              </w:rPr>
              <w:t xml:space="preserve">346 </w:t>
            </w:r>
          </w:p>
        </w:tc>
        <w:tc>
          <w:tcPr>
            <w:tcW w:w="109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779EB2DB" w14:textId="77777777" w:rsidR="004034C6" w:rsidRDefault="006C59F2">
            <w:pPr>
              <w:widowControl w:val="0"/>
              <w:spacing w:line="240" w:lineRule="auto"/>
              <w:jc w:val="center"/>
              <w:rPr>
                <w:sz w:val="18"/>
                <w:szCs w:val="18"/>
              </w:rPr>
            </w:pPr>
            <w:r>
              <w:rPr>
                <w:sz w:val="18"/>
                <w:szCs w:val="18"/>
              </w:rPr>
              <w:t xml:space="preserve">257 </w:t>
            </w:r>
          </w:p>
        </w:tc>
        <w:tc>
          <w:tcPr>
            <w:tcW w:w="103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1E4068CE" w14:textId="77777777" w:rsidR="004034C6" w:rsidRDefault="006C59F2">
            <w:pPr>
              <w:widowControl w:val="0"/>
              <w:spacing w:line="240" w:lineRule="auto"/>
              <w:jc w:val="center"/>
              <w:rPr>
                <w:sz w:val="18"/>
                <w:szCs w:val="18"/>
              </w:rPr>
            </w:pPr>
            <w:r>
              <w:rPr>
                <w:sz w:val="18"/>
                <w:szCs w:val="18"/>
              </w:rPr>
              <w:t xml:space="preserve">442 </w:t>
            </w:r>
          </w:p>
        </w:tc>
        <w:tc>
          <w:tcPr>
            <w:tcW w:w="58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28017A62" w14:textId="77777777" w:rsidR="004034C6" w:rsidRDefault="006C59F2">
            <w:pPr>
              <w:widowControl w:val="0"/>
              <w:spacing w:line="240" w:lineRule="auto"/>
              <w:jc w:val="center"/>
              <w:rPr>
                <w:sz w:val="18"/>
                <w:szCs w:val="18"/>
              </w:rPr>
            </w:pPr>
            <w:r>
              <w:rPr>
                <w:sz w:val="18"/>
                <w:szCs w:val="18"/>
              </w:rPr>
              <w:t>34</w:t>
            </w:r>
          </w:p>
        </w:tc>
      </w:tr>
      <w:tr w:rsidR="004034C6" w14:paraId="6550C937" w14:textId="77777777">
        <w:trPr>
          <w:jc w:val="center"/>
        </w:trPr>
        <w:tc>
          <w:tcPr>
            <w:tcW w:w="171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0DFA8EE5" w14:textId="77777777" w:rsidR="004034C6" w:rsidRDefault="006C59F2">
            <w:pPr>
              <w:widowControl w:val="0"/>
              <w:spacing w:line="240" w:lineRule="auto"/>
              <w:ind w:left="113"/>
              <w:jc w:val="both"/>
              <w:rPr>
                <w:sz w:val="18"/>
                <w:szCs w:val="18"/>
              </w:rPr>
            </w:pPr>
            <w:r>
              <w:rPr>
                <w:sz w:val="18"/>
                <w:szCs w:val="18"/>
              </w:rPr>
              <w:t xml:space="preserve">Villa Carlos Paz </w:t>
            </w:r>
          </w:p>
        </w:tc>
        <w:tc>
          <w:tcPr>
            <w:tcW w:w="108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604895F2" w14:textId="77777777" w:rsidR="004034C6" w:rsidRDefault="006C59F2">
            <w:pPr>
              <w:widowControl w:val="0"/>
              <w:spacing w:line="240" w:lineRule="auto"/>
              <w:jc w:val="center"/>
              <w:rPr>
                <w:sz w:val="18"/>
                <w:szCs w:val="18"/>
              </w:rPr>
            </w:pPr>
            <w:r>
              <w:rPr>
                <w:sz w:val="18"/>
                <w:szCs w:val="18"/>
              </w:rPr>
              <w:t xml:space="preserve">34.784 </w:t>
            </w:r>
          </w:p>
        </w:tc>
        <w:tc>
          <w:tcPr>
            <w:tcW w:w="127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5BAD4BF0" w14:textId="77777777" w:rsidR="004034C6" w:rsidRDefault="006C59F2">
            <w:pPr>
              <w:widowControl w:val="0"/>
              <w:spacing w:line="240" w:lineRule="auto"/>
              <w:jc w:val="center"/>
              <w:rPr>
                <w:sz w:val="18"/>
                <w:szCs w:val="18"/>
              </w:rPr>
            </w:pPr>
            <w:r>
              <w:rPr>
                <w:sz w:val="18"/>
                <w:szCs w:val="18"/>
              </w:rPr>
              <w:t xml:space="preserve">460 </w:t>
            </w:r>
          </w:p>
        </w:tc>
        <w:tc>
          <w:tcPr>
            <w:tcW w:w="127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22472D07" w14:textId="77777777" w:rsidR="004034C6" w:rsidRDefault="006C59F2">
            <w:pPr>
              <w:widowControl w:val="0"/>
              <w:spacing w:line="240" w:lineRule="auto"/>
              <w:jc w:val="center"/>
              <w:rPr>
                <w:sz w:val="18"/>
                <w:szCs w:val="18"/>
              </w:rPr>
            </w:pPr>
            <w:r>
              <w:rPr>
                <w:sz w:val="18"/>
                <w:szCs w:val="18"/>
              </w:rPr>
              <w:t xml:space="preserve">463 </w:t>
            </w:r>
          </w:p>
        </w:tc>
        <w:tc>
          <w:tcPr>
            <w:tcW w:w="109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1F971C2B" w14:textId="77777777" w:rsidR="004034C6" w:rsidRDefault="006C59F2">
            <w:pPr>
              <w:widowControl w:val="0"/>
              <w:spacing w:line="240" w:lineRule="auto"/>
              <w:jc w:val="center"/>
              <w:rPr>
                <w:sz w:val="18"/>
                <w:szCs w:val="18"/>
              </w:rPr>
            </w:pPr>
            <w:r>
              <w:rPr>
                <w:sz w:val="18"/>
                <w:szCs w:val="18"/>
              </w:rPr>
              <w:t xml:space="preserve">260 </w:t>
            </w:r>
          </w:p>
        </w:tc>
        <w:tc>
          <w:tcPr>
            <w:tcW w:w="103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03206110" w14:textId="77777777" w:rsidR="004034C6" w:rsidRDefault="006C59F2">
            <w:pPr>
              <w:widowControl w:val="0"/>
              <w:spacing w:line="240" w:lineRule="auto"/>
              <w:jc w:val="center"/>
              <w:rPr>
                <w:sz w:val="18"/>
                <w:szCs w:val="18"/>
              </w:rPr>
            </w:pPr>
            <w:r>
              <w:rPr>
                <w:sz w:val="18"/>
                <w:szCs w:val="18"/>
              </w:rPr>
              <w:t xml:space="preserve">770 </w:t>
            </w:r>
          </w:p>
        </w:tc>
        <w:tc>
          <w:tcPr>
            <w:tcW w:w="58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0C384236" w14:textId="77777777" w:rsidR="004034C6" w:rsidRDefault="006C59F2">
            <w:pPr>
              <w:widowControl w:val="0"/>
              <w:spacing w:line="240" w:lineRule="auto"/>
              <w:jc w:val="center"/>
              <w:rPr>
                <w:sz w:val="18"/>
                <w:szCs w:val="18"/>
              </w:rPr>
            </w:pPr>
            <w:r>
              <w:rPr>
                <w:sz w:val="18"/>
                <w:szCs w:val="18"/>
              </w:rPr>
              <w:t>66</w:t>
            </w:r>
          </w:p>
        </w:tc>
      </w:tr>
      <w:tr w:rsidR="004034C6" w14:paraId="11B2F91F" w14:textId="77777777">
        <w:trPr>
          <w:jc w:val="center"/>
        </w:trPr>
        <w:tc>
          <w:tcPr>
            <w:tcW w:w="1710" w:type="dxa"/>
            <w:tcBorders>
              <w:top w:val="single" w:sz="8" w:space="0" w:color="666666"/>
              <w:left w:val="nil"/>
              <w:right w:val="nil"/>
            </w:tcBorders>
            <w:shd w:val="clear" w:color="auto" w:fill="auto"/>
            <w:tcMar>
              <w:top w:w="17" w:type="dxa"/>
              <w:left w:w="17" w:type="dxa"/>
              <w:bottom w:w="17" w:type="dxa"/>
              <w:right w:w="17" w:type="dxa"/>
            </w:tcMar>
            <w:vAlign w:val="center"/>
          </w:tcPr>
          <w:p w14:paraId="67442B45" w14:textId="77777777" w:rsidR="004034C6" w:rsidRDefault="006C59F2">
            <w:pPr>
              <w:widowControl w:val="0"/>
              <w:spacing w:line="240" w:lineRule="auto"/>
              <w:ind w:left="113"/>
              <w:jc w:val="both"/>
              <w:rPr>
                <w:sz w:val="18"/>
                <w:szCs w:val="18"/>
              </w:rPr>
            </w:pPr>
            <w:r>
              <w:rPr>
                <w:sz w:val="18"/>
                <w:szCs w:val="18"/>
              </w:rPr>
              <w:t xml:space="preserve">Villa María </w:t>
            </w:r>
          </w:p>
        </w:tc>
        <w:tc>
          <w:tcPr>
            <w:tcW w:w="1080" w:type="dxa"/>
            <w:tcBorders>
              <w:top w:val="single" w:sz="8" w:space="0" w:color="666666"/>
              <w:left w:val="nil"/>
              <w:right w:val="nil"/>
            </w:tcBorders>
            <w:shd w:val="clear" w:color="auto" w:fill="auto"/>
            <w:tcMar>
              <w:top w:w="17" w:type="dxa"/>
              <w:left w:w="17" w:type="dxa"/>
              <w:bottom w:w="17" w:type="dxa"/>
              <w:right w:w="17" w:type="dxa"/>
            </w:tcMar>
            <w:vAlign w:val="center"/>
          </w:tcPr>
          <w:p w14:paraId="3D3CE0FD" w14:textId="77777777" w:rsidR="004034C6" w:rsidRDefault="006C59F2">
            <w:pPr>
              <w:widowControl w:val="0"/>
              <w:spacing w:line="240" w:lineRule="auto"/>
              <w:jc w:val="center"/>
              <w:rPr>
                <w:sz w:val="18"/>
                <w:szCs w:val="18"/>
              </w:rPr>
            </w:pPr>
            <w:r>
              <w:rPr>
                <w:sz w:val="18"/>
                <w:szCs w:val="18"/>
              </w:rPr>
              <w:t xml:space="preserve">44.718 </w:t>
            </w:r>
          </w:p>
        </w:tc>
        <w:tc>
          <w:tcPr>
            <w:tcW w:w="1275" w:type="dxa"/>
            <w:tcBorders>
              <w:top w:val="single" w:sz="8" w:space="0" w:color="666666"/>
              <w:left w:val="nil"/>
              <w:right w:val="nil"/>
            </w:tcBorders>
            <w:shd w:val="clear" w:color="auto" w:fill="auto"/>
            <w:tcMar>
              <w:top w:w="17" w:type="dxa"/>
              <w:left w:w="17" w:type="dxa"/>
              <w:bottom w:w="17" w:type="dxa"/>
              <w:right w:w="17" w:type="dxa"/>
            </w:tcMar>
            <w:vAlign w:val="center"/>
          </w:tcPr>
          <w:p w14:paraId="63902B77" w14:textId="77777777" w:rsidR="004034C6" w:rsidRDefault="006C59F2">
            <w:pPr>
              <w:widowControl w:val="0"/>
              <w:spacing w:line="240" w:lineRule="auto"/>
              <w:jc w:val="center"/>
              <w:rPr>
                <w:sz w:val="18"/>
                <w:szCs w:val="18"/>
              </w:rPr>
            </w:pPr>
            <w:r>
              <w:rPr>
                <w:sz w:val="18"/>
                <w:szCs w:val="18"/>
              </w:rPr>
              <w:t xml:space="preserve">246 </w:t>
            </w:r>
          </w:p>
        </w:tc>
        <w:tc>
          <w:tcPr>
            <w:tcW w:w="1275" w:type="dxa"/>
            <w:tcBorders>
              <w:top w:val="single" w:sz="8" w:space="0" w:color="666666"/>
              <w:left w:val="nil"/>
              <w:right w:val="nil"/>
            </w:tcBorders>
            <w:shd w:val="clear" w:color="auto" w:fill="auto"/>
            <w:tcMar>
              <w:top w:w="17" w:type="dxa"/>
              <w:left w:w="17" w:type="dxa"/>
              <w:bottom w:w="17" w:type="dxa"/>
              <w:right w:w="17" w:type="dxa"/>
            </w:tcMar>
            <w:vAlign w:val="center"/>
          </w:tcPr>
          <w:p w14:paraId="2CE0611A" w14:textId="77777777" w:rsidR="004034C6" w:rsidRDefault="006C59F2">
            <w:pPr>
              <w:widowControl w:val="0"/>
              <w:spacing w:line="240" w:lineRule="auto"/>
              <w:jc w:val="center"/>
              <w:rPr>
                <w:sz w:val="18"/>
                <w:szCs w:val="18"/>
              </w:rPr>
            </w:pPr>
            <w:r>
              <w:rPr>
                <w:sz w:val="18"/>
                <w:szCs w:val="18"/>
              </w:rPr>
              <w:t xml:space="preserve">253 </w:t>
            </w:r>
          </w:p>
        </w:tc>
        <w:tc>
          <w:tcPr>
            <w:tcW w:w="1095" w:type="dxa"/>
            <w:tcBorders>
              <w:top w:val="single" w:sz="8" w:space="0" w:color="666666"/>
              <w:left w:val="nil"/>
              <w:right w:val="nil"/>
            </w:tcBorders>
            <w:shd w:val="clear" w:color="auto" w:fill="auto"/>
            <w:tcMar>
              <w:top w:w="17" w:type="dxa"/>
              <w:left w:w="17" w:type="dxa"/>
              <w:bottom w:w="17" w:type="dxa"/>
              <w:right w:w="17" w:type="dxa"/>
            </w:tcMar>
            <w:vAlign w:val="center"/>
          </w:tcPr>
          <w:p w14:paraId="36F9F95D" w14:textId="77777777" w:rsidR="004034C6" w:rsidRDefault="006C59F2">
            <w:pPr>
              <w:widowControl w:val="0"/>
              <w:spacing w:line="240" w:lineRule="auto"/>
              <w:jc w:val="center"/>
              <w:rPr>
                <w:sz w:val="18"/>
                <w:szCs w:val="18"/>
              </w:rPr>
            </w:pPr>
            <w:r>
              <w:rPr>
                <w:sz w:val="18"/>
                <w:szCs w:val="18"/>
              </w:rPr>
              <w:t xml:space="preserve">70 </w:t>
            </w:r>
          </w:p>
        </w:tc>
        <w:tc>
          <w:tcPr>
            <w:tcW w:w="1035" w:type="dxa"/>
            <w:tcBorders>
              <w:top w:val="single" w:sz="8" w:space="0" w:color="666666"/>
              <w:left w:val="nil"/>
              <w:right w:val="nil"/>
            </w:tcBorders>
            <w:shd w:val="clear" w:color="auto" w:fill="auto"/>
            <w:tcMar>
              <w:top w:w="17" w:type="dxa"/>
              <w:left w:w="17" w:type="dxa"/>
              <w:bottom w:w="17" w:type="dxa"/>
              <w:right w:w="17" w:type="dxa"/>
            </w:tcMar>
            <w:vAlign w:val="center"/>
          </w:tcPr>
          <w:p w14:paraId="2EE0333D" w14:textId="77777777" w:rsidR="004034C6" w:rsidRDefault="006C59F2">
            <w:pPr>
              <w:widowControl w:val="0"/>
              <w:spacing w:line="240" w:lineRule="auto"/>
              <w:jc w:val="center"/>
              <w:rPr>
                <w:sz w:val="18"/>
                <w:szCs w:val="18"/>
              </w:rPr>
            </w:pPr>
            <w:r>
              <w:rPr>
                <w:sz w:val="18"/>
                <w:szCs w:val="18"/>
              </w:rPr>
              <w:t xml:space="preserve">381 </w:t>
            </w:r>
          </w:p>
        </w:tc>
        <w:tc>
          <w:tcPr>
            <w:tcW w:w="585" w:type="dxa"/>
            <w:tcBorders>
              <w:top w:val="single" w:sz="8" w:space="0" w:color="666666"/>
              <w:left w:val="nil"/>
              <w:right w:val="nil"/>
            </w:tcBorders>
            <w:shd w:val="clear" w:color="auto" w:fill="auto"/>
            <w:tcMar>
              <w:top w:w="17" w:type="dxa"/>
              <w:left w:w="17" w:type="dxa"/>
              <w:bottom w:w="17" w:type="dxa"/>
              <w:right w:w="17" w:type="dxa"/>
            </w:tcMar>
            <w:vAlign w:val="center"/>
          </w:tcPr>
          <w:p w14:paraId="6A1A6574" w14:textId="77777777" w:rsidR="004034C6" w:rsidRDefault="006C59F2">
            <w:pPr>
              <w:widowControl w:val="0"/>
              <w:spacing w:line="240" w:lineRule="auto"/>
              <w:jc w:val="center"/>
              <w:rPr>
                <w:sz w:val="18"/>
                <w:szCs w:val="18"/>
              </w:rPr>
            </w:pPr>
            <w:r>
              <w:rPr>
                <w:sz w:val="18"/>
                <w:szCs w:val="18"/>
              </w:rPr>
              <w:t>30</w:t>
            </w:r>
          </w:p>
        </w:tc>
      </w:tr>
      <w:tr w:rsidR="004034C6" w14:paraId="3A920187" w14:textId="77777777">
        <w:trPr>
          <w:jc w:val="center"/>
        </w:trPr>
        <w:tc>
          <w:tcPr>
            <w:tcW w:w="1710" w:type="dxa"/>
            <w:tcBorders>
              <w:left w:val="nil"/>
              <w:right w:val="nil"/>
            </w:tcBorders>
            <w:shd w:val="clear" w:color="auto" w:fill="auto"/>
            <w:tcMar>
              <w:top w:w="17" w:type="dxa"/>
              <w:left w:w="17" w:type="dxa"/>
              <w:bottom w:w="17" w:type="dxa"/>
              <w:right w:w="17" w:type="dxa"/>
            </w:tcMar>
            <w:vAlign w:val="center"/>
          </w:tcPr>
          <w:p w14:paraId="1A0BD5E8" w14:textId="77777777" w:rsidR="004034C6" w:rsidRDefault="006C59F2">
            <w:pPr>
              <w:widowControl w:val="0"/>
              <w:spacing w:line="240" w:lineRule="auto"/>
              <w:ind w:left="116"/>
              <w:jc w:val="center"/>
              <w:rPr>
                <w:b/>
                <w:sz w:val="18"/>
                <w:szCs w:val="18"/>
              </w:rPr>
            </w:pPr>
            <w:r>
              <w:rPr>
                <w:b/>
                <w:sz w:val="18"/>
                <w:szCs w:val="18"/>
              </w:rPr>
              <w:t xml:space="preserve">TOTAL </w:t>
            </w:r>
          </w:p>
        </w:tc>
        <w:tc>
          <w:tcPr>
            <w:tcW w:w="1080" w:type="dxa"/>
            <w:tcBorders>
              <w:left w:val="nil"/>
              <w:right w:val="nil"/>
            </w:tcBorders>
            <w:shd w:val="clear" w:color="auto" w:fill="auto"/>
            <w:tcMar>
              <w:top w:w="17" w:type="dxa"/>
              <w:left w:w="17" w:type="dxa"/>
              <w:bottom w:w="17" w:type="dxa"/>
              <w:right w:w="17" w:type="dxa"/>
            </w:tcMar>
            <w:vAlign w:val="center"/>
          </w:tcPr>
          <w:p w14:paraId="5319EF3C" w14:textId="77777777" w:rsidR="004034C6" w:rsidRDefault="006C59F2">
            <w:pPr>
              <w:widowControl w:val="0"/>
              <w:spacing w:line="240" w:lineRule="auto"/>
              <w:jc w:val="center"/>
              <w:rPr>
                <w:b/>
                <w:sz w:val="18"/>
                <w:szCs w:val="18"/>
              </w:rPr>
            </w:pPr>
            <w:r>
              <w:rPr>
                <w:b/>
                <w:sz w:val="18"/>
                <w:szCs w:val="18"/>
              </w:rPr>
              <w:t xml:space="preserve">676.632 </w:t>
            </w:r>
          </w:p>
        </w:tc>
        <w:tc>
          <w:tcPr>
            <w:tcW w:w="1275" w:type="dxa"/>
            <w:tcBorders>
              <w:left w:val="nil"/>
              <w:right w:val="nil"/>
            </w:tcBorders>
            <w:shd w:val="clear" w:color="auto" w:fill="auto"/>
            <w:tcMar>
              <w:top w:w="17" w:type="dxa"/>
              <w:left w:w="17" w:type="dxa"/>
              <w:bottom w:w="17" w:type="dxa"/>
              <w:right w:w="17" w:type="dxa"/>
            </w:tcMar>
            <w:vAlign w:val="center"/>
          </w:tcPr>
          <w:p w14:paraId="24FBB55A" w14:textId="77777777" w:rsidR="004034C6" w:rsidRDefault="006C59F2">
            <w:pPr>
              <w:widowControl w:val="0"/>
              <w:spacing w:line="240" w:lineRule="auto"/>
              <w:jc w:val="center"/>
              <w:rPr>
                <w:b/>
                <w:sz w:val="18"/>
                <w:szCs w:val="18"/>
              </w:rPr>
            </w:pPr>
            <w:r>
              <w:rPr>
                <w:b/>
                <w:sz w:val="18"/>
                <w:szCs w:val="18"/>
              </w:rPr>
              <w:t xml:space="preserve">390 </w:t>
            </w:r>
          </w:p>
        </w:tc>
        <w:tc>
          <w:tcPr>
            <w:tcW w:w="1275" w:type="dxa"/>
            <w:tcBorders>
              <w:left w:val="nil"/>
              <w:right w:val="nil"/>
            </w:tcBorders>
            <w:shd w:val="clear" w:color="auto" w:fill="auto"/>
            <w:tcMar>
              <w:top w:w="17" w:type="dxa"/>
              <w:left w:w="17" w:type="dxa"/>
              <w:bottom w:w="17" w:type="dxa"/>
              <w:right w:w="17" w:type="dxa"/>
            </w:tcMar>
            <w:vAlign w:val="center"/>
          </w:tcPr>
          <w:p w14:paraId="67690E64" w14:textId="77777777" w:rsidR="004034C6" w:rsidRDefault="006C59F2">
            <w:pPr>
              <w:widowControl w:val="0"/>
              <w:spacing w:line="240" w:lineRule="auto"/>
              <w:jc w:val="center"/>
              <w:rPr>
                <w:b/>
                <w:sz w:val="18"/>
                <w:szCs w:val="18"/>
              </w:rPr>
            </w:pPr>
            <w:r>
              <w:rPr>
                <w:b/>
                <w:sz w:val="18"/>
                <w:szCs w:val="18"/>
              </w:rPr>
              <w:t xml:space="preserve">393 </w:t>
            </w:r>
          </w:p>
        </w:tc>
        <w:tc>
          <w:tcPr>
            <w:tcW w:w="1095" w:type="dxa"/>
            <w:tcBorders>
              <w:left w:val="nil"/>
              <w:right w:val="nil"/>
            </w:tcBorders>
            <w:shd w:val="clear" w:color="auto" w:fill="auto"/>
            <w:tcMar>
              <w:top w:w="17" w:type="dxa"/>
              <w:left w:w="17" w:type="dxa"/>
              <w:bottom w:w="17" w:type="dxa"/>
              <w:right w:w="17" w:type="dxa"/>
            </w:tcMar>
            <w:vAlign w:val="center"/>
          </w:tcPr>
          <w:p w14:paraId="445A0438" w14:textId="77777777" w:rsidR="004034C6" w:rsidRDefault="006C59F2">
            <w:pPr>
              <w:widowControl w:val="0"/>
              <w:spacing w:line="240" w:lineRule="auto"/>
              <w:jc w:val="center"/>
              <w:rPr>
                <w:b/>
                <w:sz w:val="18"/>
                <w:szCs w:val="18"/>
              </w:rPr>
            </w:pPr>
            <w:r>
              <w:rPr>
                <w:b/>
                <w:sz w:val="18"/>
                <w:szCs w:val="18"/>
              </w:rPr>
              <w:t xml:space="preserve">36 </w:t>
            </w:r>
          </w:p>
        </w:tc>
        <w:tc>
          <w:tcPr>
            <w:tcW w:w="1035" w:type="dxa"/>
            <w:tcBorders>
              <w:left w:val="nil"/>
              <w:right w:val="nil"/>
            </w:tcBorders>
            <w:shd w:val="clear" w:color="auto" w:fill="auto"/>
            <w:tcMar>
              <w:top w:w="17" w:type="dxa"/>
              <w:left w:w="17" w:type="dxa"/>
              <w:bottom w:w="17" w:type="dxa"/>
              <w:right w:w="17" w:type="dxa"/>
            </w:tcMar>
            <w:vAlign w:val="center"/>
          </w:tcPr>
          <w:p w14:paraId="4C60B5C7" w14:textId="77777777" w:rsidR="004034C6" w:rsidRDefault="006C59F2">
            <w:pPr>
              <w:widowControl w:val="0"/>
              <w:spacing w:line="240" w:lineRule="auto"/>
              <w:jc w:val="center"/>
              <w:rPr>
                <w:b/>
                <w:sz w:val="18"/>
                <w:szCs w:val="18"/>
              </w:rPr>
            </w:pPr>
            <w:r>
              <w:rPr>
                <w:b/>
                <w:sz w:val="18"/>
                <w:szCs w:val="18"/>
              </w:rPr>
              <w:t xml:space="preserve">1.000 </w:t>
            </w:r>
          </w:p>
        </w:tc>
        <w:tc>
          <w:tcPr>
            <w:tcW w:w="585" w:type="dxa"/>
            <w:tcBorders>
              <w:left w:val="nil"/>
              <w:right w:val="nil"/>
            </w:tcBorders>
            <w:shd w:val="clear" w:color="auto" w:fill="auto"/>
            <w:tcMar>
              <w:top w:w="17" w:type="dxa"/>
              <w:left w:w="17" w:type="dxa"/>
              <w:bottom w:w="17" w:type="dxa"/>
              <w:right w:w="17" w:type="dxa"/>
            </w:tcMar>
            <w:vAlign w:val="center"/>
          </w:tcPr>
          <w:p w14:paraId="352A808A" w14:textId="77777777" w:rsidR="004034C6" w:rsidRDefault="006C59F2">
            <w:pPr>
              <w:widowControl w:val="0"/>
              <w:spacing w:line="240" w:lineRule="auto"/>
              <w:jc w:val="center"/>
              <w:rPr>
                <w:b/>
                <w:sz w:val="18"/>
                <w:szCs w:val="18"/>
              </w:rPr>
            </w:pPr>
            <w:r>
              <w:rPr>
                <w:b/>
                <w:sz w:val="18"/>
                <w:szCs w:val="18"/>
              </w:rPr>
              <w:t>81</w:t>
            </w:r>
          </w:p>
        </w:tc>
      </w:tr>
    </w:tbl>
    <w:p w14:paraId="0E517841" w14:textId="77777777" w:rsidR="004034C6" w:rsidRPr="00453EB4" w:rsidRDefault="006C59F2">
      <w:pPr>
        <w:spacing w:line="240" w:lineRule="auto"/>
        <w:jc w:val="center"/>
        <w:rPr>
          <w:i/>
          <w:sz w:val="20"/>
          <w:szCs w:val="20"/>
        </w:rPr>
      </w:pPr>
      <w:r w:rsidRPr="00453EB4">
        <w:rPr>
          <w:i/>
          <w:sz w:val="20"/>
          <w:szCs w:val="20"/>
        </w:rPr>
        <w:t>Fuente: Elaboración Propia</w:t>
      </w:r>
    </w:p>
    <w:p w14:paraId="667F11C7" w14:textId="77777777" w:rsidR="004034C6" w:rsidRDefault="004034C6">
      <w:pPr>
        <w:spacing w:line="240" w:lineRule="auto"/>
        <w:jc w:val="both"/>
      </w:pPr>
    </w:p>
    <w:p w14:paraId="33D9FA07" w14:textId="77777777" w:rsidR="004034C6" w:rsidRDefault="006C59F2">
      <w:pPr>
        <w:spacing w:line="240" w:lineRule="auto"/>
        <w:jc w:val="both"/>
        <w:rPr>
          <w:highlight w:val="yellow"/>
        </w:rPr>
      </w:pPr>
      <w:r>
        <w:t xml:space="preserve">Considerando el gran tamaño de la ciudad de Córdoba resultó de utilidad agrupar los resultados por barrio. La ciudad posee cerca de 500 barrios, de manera ilustrativa y con finalidad de contrastar los resultados se seleccionaron algunos barrios, lo cual puede apreciarse en la Tabla 2, donde se muestran las estadísticas descriptivas de los resultados del VUA. La mediana del barrio Nueva Córdoba es el máximo de los barrios seleccionados, lo cual se explica por su localización </w:t>
      </w:r>
      <w:r>
        <w:lastRenderedPageBreak/>
        <w:t xml:space="preserve">estratégica, su cercanía al centro y a la Universidad Nacional de Córdoba, que tiende a atraer gran cantidad de estudiantes del interior o de otras provincias presionando el precio </w:t>
      </w:r>
      <w:proofErr w:type="gramStart"/>
      <w:r>
        <w:t>a la alza</w:t>
      </w:r>
      <w:proofErr w:type="gramEnd"/>
      <w:r>
        <w:t xml:space="preserve">. El VUA mediano del barrio General Paz fue de $440, el segundo más alto de los barrios analizados. El barrio en cuestión se presenta como un sector alternativo descongestionando los sectores tradicionales ubicados en el centro de la ciudad. </w:t>
      </w:r>
    </w:p>
    <w:p w14:paraId="4C59A640" w14:textId="77777777" w:rsidR="004034C6" w:rsidRDefault="004034C6">
      <w:pPr>
        <w:spacing w:line="240" w:lineRule="auto"/>
        <w:jc w:val="both"/>
        <w:rPr>
          <w:highlight w:val="yellow"/>
        </w:rPr>
      </w:pPr>
    </w:p>
    <w:p w14:paraId="264BB892" w14:textId="77777777" w:rsidR="004034C6" w:rsidRPr="00453EB4" w:rsidRDefault="006C59F2">
      <w:pPr>
        <w:spacing w:line="240" w:lineRule="auto"/>
        <w:jc w:val="center"/>
        <w:rPr>
          <w:sz w:val="20"/>
          <w:szCs w:val="20"/>
        </w:rPr>
      </w:pPr>
      <w:r w:rsidRPr="00453EB4">
        <w:rPr>
          <w:sz w:val="20"/>
          <w:szCs w:val="20"/>
        </w:rPr>
        <w:t xml:space="preserve">Tabla 2. VUA barrios seleccionados de la Ciudad de Córdoba ($/m2) </w:t>
      </w:r>
    </w:p>
    <w:tbl>
      <w:tblPr>
        <w:tblStyle w:val="a0"/>
        <w:tblW w:w="80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1185"/>
        <w:gridCol w:w="1125"/>
        <w:gridCol w:w="975"/>
        <w:gridCol w:w="885"/>
        <w:gridCol w:w="1050"/>
        <w:gridCol w:w="645"/>
      </w:tblGrid>
      <w:tr w:rsidR="004034C6" w14:paraId="5D56417A" w14:textId="77777777">
        <w:trPr>
          <w:jc w:val="center"/>
        </w:trPr>
        <w:tc>
          <w:tcPr>
            <w:tcW w:w="2160" w:type="dxa"/>
            <w:tcBorders>
              <w:left w:val="nil"/>
              <w:right w:val="nil"/>
            </w:tcBorders>
            <w:shd w:val="clear" w:color="auto" w:fill="auto"/>
            <w:tcMar>
              <w:top w:w="17" w:type="dxa"/>
              <w:left w:w="17" w:type="dxa"/>
              <w:bottom w:w="17" w:type="dxa"/>
              <w:right w:w="17" w:type="dxa"/>
            </w:tcMar>
            <w:vAlign w:val="center"/>
          </w:tcPr>
          <w:p w14:paraId="41F49247" w14:textId="77777777" w:rsidR="004034C6" w:rsidRDefault="006C59F2">
            <w:pPr>
              <w:widowControl w:val="0"/>
              <w:spacing w:line="240" w:lineRule="auto"/>
              <w:ind w:left="126"/>
              <w:jc w:val="both"/>
              <w:rPr>
                <w:b/>
                <w:sz w:val="18"/>
                <w:szCs w:val="18"/>
              </w:rPr>
            </w:pPr>
            <w:r>
              <w:rPr>
                <w:b/>
                <w:sz w:val="18"/>
                <w:szCs w:val="18"/>
              </w:rPr>
              <w:t xml:space="preserve">Barrios </w:t>
            </w:r>
          </w:p>
        </w:tc>
        <w:tc>
          <w:tcPr>
            <w:tcW w:w="1185" w:type="dxa"/>
            <w:tcBorders>
              <w:left w:val="nil"/>
              <w:right w:val="nil"/>
            </w:tcBorders>
            <w:shd w:val="clear" w:color="auto" w:fill="auto"/>
            <w:tcMar>
              <w:top w:w="17" w:type="dxa"/>
              <w:left w:w="17" w:type="dxa"/>
              <w:bottom w:w="17" w:type="dxa"/>
              <w:right w:w="17" w:type="dxa"/>
            </w:tcMar>
            <w:vAlign w:val="center"/>
          </w:tcPr>
          <w:p w14:paraId="5E9C9471" w14:textId="77777777" w:rsidR="004034C6" w:rsidRDefault="006C59F2">
            <w:pPr>
              <w:widowControl w:val="0"/>
              <w:spacing w:line="240" w:lineRule="auto"/>
              <w:jc w:val="center"/>
              <w:rPr>
                <w:b/>
                <w:sz w:val="18"/>
                <w:szCs w:val="18"/>
              </w:rPr>
            </w:pPr>
            <w:r>
              <w:rPr>
                <w:b/>
                <w:sz w:val="18"/>
                <w:szCs w:val="18"/>
              </w:rPr>
              <w:t xml:space="preserve">Parcelas </w:t>
            </w:r>
          </w:p>
        </w:tc>
        <w:tc>
          <w:tcPr>
            <w:tcW w:w="1125" w:type="dxa"/>
            <w:tcBorders>
              <w:left w:val="nil"/>
              <w:right w:val="nil"/>
            </w:tcBorders>
            <w:shd w:val="clear" w:color="auto" w:fill="auto"/>
            <w:tcMar>
              <w:top w:w="17" w:type="dxa"/>
              <w:left w:w="17" w:type="dxa"/>
              <w:bottom w:w="17" w:type="dxa"/>
              <w:right w:w="17" w:type="dxa"/>
            </w:tcMar>
            <w:vAlign w:val="center"/>
          </w:tcPr>
          <w:p w14:paraId="37F7AD69" w14:textId="77777777" w:rsidR="004034C6" w:rsidRDefault="006C59F2">
            <w:pPr>
              <w:widowControl w:val="0"/>
              <w:spacing w:line="240" w:lineRule="auto"/>
              <w:jc w:val="center"/>
              <w:rPr>
                <w:b/>
                <w:sz w:val="18"/>
                <w:szCs w:val="18"/>
              </w:rPr>
            </w:pPr>
            <w:r>
              <w:rPr>
                <w:b/>
                <w:sz w:val="18"/>
                <w:szCs w:val="18"/>
              </w:rPr>
              <w:t xml:space="preserve">Mediana </w:t>
            </w:r>
          </w:p>
        </w:tc>
        <w:tc>
          <w:tcPr>
            <w:tcW w:w="975" w:type="dxa"/>
            <w:tcBorders>
              <w:left w:val="nil"/>
              <w:right w:val="nil"/>
            </w:tcBorders>
            <w:shd w:val="clear" w:color="auto" w:fill="auto"/>
            <w:tcMar>
              <w:top w:w="17" w:type="dxa"/>
              <w:left w:w="17" w:type="dxa"/>
              <w:bottom w:w="17" w:type="dxa"/>
              <w:right w:w="17" w:type="dxa"/>
            </w:tcMar>
            <w:vAlign w:val="center"/>
          </w:tcPr>
          <w:p w14:paraId="33C46060" w14:textId="77777777" w:rsidR="004034C6" w:rsidRDefault="006C59F2">
            <w:pPr>
              <w:widowControl w:val="0"/>
              <w:spacing w:line="240" w:lineRule="auto"/>
              <w:jc w:val="center"/>
              <w:rPr>
                <w:b/>
                <w:sz w:val="18"/>
                <w:szCs w:val="18"/>
              </w:rPr>
            </w:pPr>
            <w:r>
              <w:rPr>
                <w:b/>
                <w:sz w:val="18"/>
                <w:szCs w:val="18"/>
              </w:rPr>
              <w:t xml:space="preserve">Media </w:t>
            </w:r>
          </w:p>
        </w:tc>
        <w:tc>
          <w:tcPr>
            <w:tcW w:w="885" w:type="dxa"/>
            <w:tcBorders>
              <w:left w:val="nil"/>
              <w:right w:val="nil"/>
            </w:tcBorders>
            <w:shd w:val="clear" w:color="auto" w:fill="auto"/>
            <w:tcMar>
              <w:top w:w="17" w:type="dxa"/>
              <w:left w:w="17" w:type="dxa"/>
              <w:bottom w:w="17" w:type="dxa"/>
              <w:right w:w="17" w:type="dxa"/>
            </w:tcMar>
            <w:vAlign w:val="center"/>
          </w:tcPr>
          <w:p w14:paraId="0FB20471" w14:textId="77777777" w:rsidR="004034C6" w:rsidRDefault="006C59F2">
            <w:pPr>
              <w:widowControl w:val="0"/>
              <w:spacing w:line="240" w:lineRule="auto"/>
              <w:jc w:val="center"/>
              <w:rPr>
                <w:b/>
                <w:sz w:val="18"/>
                <w:szCs w:val="18"/>
              </w:rPr>
            </w:pPr>
            <w:r>
              <w:rPr>
                <w:b/>
                <w:sz w:val="18"/>
                <w:szCs w:val="18"/>
              </w:rPr>
              <w:t xml:space="preserve">Min </w:t>
            </w:r>
          </w:p>
        </w:tc>
        <w:tc>
          <w:tcPr>
            <w:tcW w:w="1050" w:type="dxa"/>
            <w:tcBorders>
              <w:left w:val="nil"/>
              <w:right w:val="nil"/>
            </w:tcBorders>
            <w:shd w:val="clear" w:color="auto" w:fill="auto"/>
            <w:tcMar>
              <w:top w:w="17" w:type="dxa"/>
              <w:left w:w="17" w:type="dxa"/>
              <w:bottom w:w="17" w:type="dxa"/>
              <w:right w:w="17" w:type="dxa"/>
            </w:tcMar>
            <w:vAlign w:val="center"/>
          </w:tcPr>
          <w:p w14:paraId="3B61140E" w14:textId="77777777" w:rsidR="004034C6" w:rsidRDefault="006C59F2">
            <w:pPr>
              <w:widowControl w:val="0"/>
              <w:spacing w:line="240" w:lineRule="auto"/>
              <w:jc w:val="center"/>
              <w:rPr>
                <w:b/>
                <w:sz w:val="18"/>
                <w:szCs w:val="18"/>
              </w:rPr>
            </w:pPr>
            <w:r>
              <w:rPr>
                <w:b/>
                <w:sz w:val="18"/>
                <w:szCs w:val="18"/>
              </w:rPr>
              <w:t xml:space="preserve">Max </w:t>
            </w:r>
          </w:p>
        </w:tc>
        <w:tc>
          <w:tcPr>
            <w:tcW w:w="645" w:type="dxa"/>
            <w:tcBorders>
              <w:left w:val="nil"/>
              <w:right w:val="nil"/>
            </w:tcBorders>
            <w:shd w:val="clear" w:color="auto" w:fill="auto"/>
            <w:tcMar>
              <w:top w:w="17" w:type="dxa"/>
              <w:left w:w="17" w:type="dxa"/>
              <w:bottom w:w="17" w:type="dxa"/>
              <w:right w:w="17" w:type="dxa"/>
            </w:tcMar>
            <w:vAlign w:val="center"/>
          </w:tcPr>
          <w:p w14:paraId="164B2EFC" w14:textId="77777777" w:rsidR="004034C6" w:rsidRDefault="006C59F2">
            <w:pPr>
              <w:widowControl w:val="0"/>
              <w:spacing w:line="240" w:lineRule="auto"/>
              <w:jc w:val="center"/>
              <w:rPr>
                <w:b/>
                <w:sz w:val="18"/>
                <w:szCs w:val="18"/>
              </w:rPr>
            </w:pPr>
            <w:r>
              <w:rPr>
                <w:b/>
                <w:sz w:val="18"/>
                <w:szCs w:val="18"/>
              </w:rPr>
              <w:t>DE</w:t>
            </w:r>
          </w:p>
        </w:tc>
      </w:tr>
      <w:tr w:rsidR="004034C6" w14:paraId="33613402" w14:textId="77777777">
        <w:trPr>
          <w:jc w:val="center"/>
        </w:trPr>
        <w:tc>
          <w:tcPr>
            <w:tcW w:w="2160" w:type="dxa"/>
            <w:tcBorders>
              <w:left w:val="nil"/>
              <w:bottom w:val="single" w:sz="8" w:space="0" w:color="666666"/>
              <w:right w:val="nil"/>
            </w:tcBorders>
            <w:shd w:val="clear" w:color="auto" w:fill="auto"/>
            <w:tcMar>
              <w:top w:w="17" w:type="dxa"/>
              <w:left w:w="17" w:type="dxa"/>
              <w:bottom w:w="17" w:type="dxa"/>
              <w:right w:w="17" w:type="dxa"/>
            </w:tcMar>
            <w:vAlign w:val="center"/>
          </w:tcPr>
          <w:p w14:paraId="511ACD8B" w14:textId="77777777" w:rsidR="004034C6" w:rsidRDefault="006C59F2">
            <w:pPr>
              <w:widowControl w:val="0"/>
              <w:spacing w:line="240" w:lineRule="auto"/>
              <w:ind w:left="112"/>
              <w:jc w:val="both"/>
              <w:rPr>
                <w:sz w:val="18"/>
                <w:szCs w:val="18"/>
              </w:rPr>
            </w:pPr>
            <w:r>
              <w:rPr>
                <w:sz w:val="18"/>
                <w:szCs w:val="18"/>
              </w:rPr>
              <w:t xml:space="preserve">Alberdi </w:t>
            </w:r>
          </w:p>
        </w:tc>
        <w:tc>
          <w:tcPr>
            <w:tcW w:w="1185" w:type="dxa"/>
            <w:tcBorders>
              <w:left w:val="nil"/>
              <w:bottom w:val="single" w:sz="8" w:space="0" w:color="666666"/>
              <w:right w:val="nil"/>
            </w:tcBorders>
            <w:shd w:val="clear" w:color="auto" w:fill="auto"/>
            <w:tcMar>
              <w:top w:w="17" w:type="dxa"/>
              <w:left w:w="17" w:type="dxa"/>
              <w:bottom w:w="17" w:type="dxa"/>
              <w:right w:w="17" w:type="dxa"/>
            </w:tcMar>
            <w:vAlign w:val="center"/>
          </w:tcPr>
          <w:p w14:paraId="0C4C40BD" w14:textId="77777777" w:rsidR="004034C6" w:rsidRDefault="006C59F2">
            <w:pPr>
              <w:widowControl w:val="0"/>
              <w:spacing w:line="240" w:lineRule="auto"/>
              <w:jc w:val="center"/>
              <w:rPr>
                <w:sz w:val="18"/>
                <w:szCs w:val="18"/>
              </w:rPr>
            </w:pPr>
            <w:r>
              <w:rPr>
                <w:sz w:val="18"/>
                <w:szCs w:val="18"/>
              </w:rPr>
              <w:t xml:space="preserve">29.222 </w:t>
            </w:r>
          </w:p>
        </w:tc>
        <w:tc>
          <w:tcPr>
            <w:tcW w:w="1125" w:type="dxa"/>
            <w:tcBorders>
              <w:left w:val="nil"/>
              <w:bottom w:val="single" w:sz="8" w:space="0" w:color="666666"/>
              <w:right w:val="nil"/>
            </w:tcBorders>
            <w:shd w:val="clear" w:color="auto" w:fill="auto"/>
            <w:tcMar>
              <w:top w:w="17" w:type="dxa"/>
              <w:left w:w="17" w:type="dxa"/>
              <w:bottom w:w="17" w:type="dxa"/>
              <w:right w:w="17" w:type="dxa"/>
            </w:tcMar>
            <w:vAlign w:val="center"/>
          </w:tcPr>
          <w:p w14:paraId="645C5412" w14:textId="77777777" w:rsidR="004034C6" w:rsidRDefault="006C59F2">
            <w:pPr>
              <w:widowControl w:val="0"/>
              <w:spacing w:line="240" w:lineRule="auto"/>
              <w:jc w:val="center"/>
              <w:rPr>
                <w:sz w:val="18"/>
                <w:szCs w:val="18"/>
              </w:rPr>
            </w:pPr>
            <w:r>
              <w:rPr>
                <w:sz w:val="18"/>
                <w:szCs w:val="18"/>
              </w:rPr>
              <w:t xml:space="preserve">400 </w:t>
            </w:r>
          </w:p>
        </w:tc>
        <w:tc>
          <w:tcPr>
            <w:tcW w:w="975" w:type="dxa"/>
            <w:tcBorders>
              <w:left w:val="nil"/>
              <w:bottom w:val="single" w:sz="8" w:space="0" w:color="666666"/>
              <w:right w:val="nil"/>
            </w:tcBorders>
            <w:shd w:val="clear" w:color="auto" w:fill="auto"/>
            <w:tcMar>
              <w:top w:w="17" w:type="dxa"/>
              <w:left w:w="17" w:type="dxa"/>
              <w:bottom w:w="17" w:type="dxa"/>
              <w:right w:w="17" w:type="dxa"/>
            </w:tcMar>
            <w:vAlign w:val="center"/>
          </w:tcPr>
          <w:p w14:paraId="45122655" w14:textId="77777777" w:rsidR="004034C6" w:rsidRDefault="006C59F2">
            <w:pPr>
              <w:widowControl w:val="0"/>
              <w:spacing w:line="240" w:lineRule="auto"/>
              <w:jc w:val="center"/>
              <w:rPr>
                <w:sz w:val="18"/>
                <w:szCs w:val="18"/>
              </w:rPr>
            </w:pPr>
            <w:r>
              <w:rPr>
                <w:sz w:val="18"/>
                <w:szCs w:val="18"/>
              </w:rPr>
              <w:t xml:space="preserve">394 </w:t>
            </w:r>
          </w:p>
        </w:tc>
        <w:tc>
          <w:tcPr>
            <w:tcW w:w="885" w:type="dxa"/>
            <w:tcBorders>
              <w:left w:val="nil"/>
              <w:bottom w:val="single" w:sz="8" w:space="0" w:color="666666"/>
              <w:right w:val="nil"/>
            </w:tcBorders>
            <w:shd w:val="clear" w:color="auto" w:fill="auto"/>
            <w:tcMar>
              <w:top w:w="17" w:type="dxa"/>
              <w:left w:w="17" w:type="dxa"/>
              <w:bottom w:w="17" w:type="dxa"/>
              <w:right w:w="17" w:type="dxa"/>
            </w:tcMar>
            <w:vAlign w:val="center"/>
          </w:tcPr>
          <w:p w14:paraId="64556504" w14:textId="77777777" w:rsidR="004034C6" w:rsidRDefault="006C59F2">
            <w:pPr>
              <w:widowControl w:val="0"/>
              <w:spacing w:line="240" w:lineRule="auto"/>
              <w:jc w:val="center"/>
              <w:rPr>
                <w:sz w:val="18"/>
                <w:szCs w:val="18"/>
              </w:rPr>
            </w:pPr>
            <w:r>
              <w:rPr>
                <w:sz w:val="18"/>
                <w:szCs w:val="18"/>
              </w:rPr>
              <w:t xml:space="preserve">310 </w:t>
            </w:r>
          </w:p>
        </w:tc>
        <w:tc>
          <w:tcPr>
            <w:tcW w:w="1050" w:type="dxa"/>
            <w:tcBorders>
              <w:left w:val="nil"/>
              <w:bottom w:val="single" w:sz="8" w:space="0" w:color="666666"/>
              <w:right w:val="nil"/>
            </w:tcBorders>
            <w:shd w:val="clear" w:color="auto" w:fill="auto"/>
            <w:tcMar>
              <w:top w:w="17" w:type="dxa"/>
              <w:left w:w="17" w:type="dxa"/>
              <w:bottom w:w="17" w:type="dxa"/>
              <w:right w:w="17" w:type="dxa"/>
            </w:tcMar>
            <w:vAlign w:val="center"/>
          </w:tcPr>
          <w:p w14:paraId="3B113800" w14:textId="77777777" w:rsidR="004034C6" w:rsidRDefault="006C59F2">
            <w:pPr>
              <w:widowControl w:val="0"/>
              <w:spacing w:line="240" w:lineRule="auto"/>
              <w:jc w:val="center"/>
              <w:rPr>
                <w:sz w:val="18"/>
                <w:szCs w:val="18"/>
              </w:rPr>
            </w:pPr>
            <w:r>
              <w:rPr>
                <w:sz w:val="18"/>
                <w:szCs w:val="18"/>
              </w:rPr>
              <w:t xml:space="preserve">460 </w:t>
            </w:r>
          </w:p>
        </w:tc>
        <w:tc>
          <w:tcPr>
            <w:tcW w:w="645" w:type="dxa"/>
            <w:tcBorders>
              <w:left w:val="nil"/>
              <w:bottom w:val="single" w:sz="8" w:space="0" w:color="666666"/>
              <w:right w:val="nil"/>
            </w:tcBorders>
            <w:shd w:val="clear" w:color="auto" w:fill="auto"/>
            <w:tcMar>
              <w:top w:w="17" w:type="dxa"/>
              <w:left w:w="17" w:type="dxa"/>
              <w:bottom w:w="17" w:type="dxa"/>
              <w:right w:w="17" w:type="dxa"/>
            </w:tcMar>
            <w:vAlign w:val="center"/>
          </w:tcPr>
          <w:p w14:paraId="1E9E20E8" w14:textId="77777777" w:rsidR="004034C6" w:rsidRDefault="006C59F2">
            <w:pPr>
              <w:widowControl w:val="0"/>
              <w:spacing w:line="240" w:lineRule="auto"/>
              <w:jc w:val="center"/>
              <w:rPr>
                <w:sz w:val="18"/>
                <w:szCs w:val="18"/>
              </w:rPr>
            </w:pPr>
            <w:r>
              <w:rPr>
                <w:sz w:val="18"/>
                <w:szCs w:val="18"/>
              </w:rPr>
              <w:t>23</w:t>
            </w:r>
          </w:p>
        </w:tc>
      </w:tr>
      <w:tr w:rsidR="004034C6" w14:paraId="39AD391B" w14:textId="77777777">
        <w:trPr>
          <w:jc w:val="center"/>
        </w:trPr>
        <w:tc>
          <w:tcPr>
            <w:tcW w:w="216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3314EE65" w14:textId="77777777" w:rsidR="004034C6" w:rsidRDefault="006C59F2">
            <w:pPr>
              <w:widowControl w:val="0"/>
              <w:spacing w:line="240" w:lineRule="auto"/>
              <w:ind w:left="112"/>
              <w:jc w:val="both"/>
              <w:rPr>
                <w:sz w:val="18"/>
                <w:szCs w:val="18"/>
              </w:rPr>
            </w:pPr>
            <w:r>
              <w:rPr>
                <w:sz w:val="18"/>
                <w:szCs w:val="18"/>
              </w:rPr>
              <w:t xml:space="preserve">Alta Córdoba </w:t>
            </w:r>
          </w:p>
        </w:tc>
        <w:tc>
          <w:tcPr>
            <w:tcW w:w="118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450A5EF9" w14:textId="77777777" w:rsidR="004034C6" w:rsidRDefault="006C59F2">
            <w:pPr>
              <w:widowControl w:val="0"/>
              <w:spacing w:line="240" w:lineRule="auto"/>
              <w:jc w:val="center"/>
              <w:rPr>
                <w:sz w:val="18"/>
                <w:szCs w:val="18"/>
              </w:rPr>
            </w:pPr>
            <w:r>
              <w:rPr>
                <w:sz w:val="18"/>
                <w:szCs w:val="18"/>
              </w:rPr>
              <w:t xml:space="preserve">18.385 </w:t>
            </w:r>
          </w:p>
        </w:tc>
        <w:tc>
          <w:tcPr>
            <w:tcW w:w="112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39EA5ED5" w14:textId="77777777" w:rsidR="004034C6" w:rsidRDefault="006C59F2">
            <w:pPr>
              <w:widowControl w:val="0"/>
              <w:spacing w:line="240" w:lineRule="auto"/>
              <w:jc w:val="center"/>
              <w:rPr>
                <w:sz w:val="18"/>
                <w:szCs w:val="18"/>
              </w:rPr>
            </w:pPr>
            <w:r>
              <w:rPr>
                <w:sz w:val="18"/>
                <w:szCs w:val="18"/>
              </w:rPr>
              <w:t xml:space="preserve">390 </w:t>
            </w:r>
          </w:p>
        </w:tc>
        <w:tc>
          <w:tcPr>
            <w:tcW w:w="97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6F44EC30" w14:textId="77777777" w:rsidR="004034C6" w:rsidRDefault="006C59F2">
            <w:pPr>
              <w:widowControl w:val="0"/>
              <w:spacing w:line="240" w:lineRule="auto"/>
              <w:jc w:val="center"/>
              <w:rPr>
                <w:sz w:val="18"/>
                <w:szCs w:val="18"/>
              </w:rPr>
            </w:pPr>
            <w:r>
              <w:rPr>
                <w:sz w:val="18"/>
                <w:szCs w:val="18"/>
              </w:rPr>
              <w:t xml:space="preserve">391 </w:t>
            </w:r>
          </w:p>
        </w:tc>
        <w:tc>
          <w:tcPr>
            <w:tcW w:w="88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4225F356" w14:textId="77777777" w:rsidR="004034C6" w:rsidRDefault="006C59F2">
            <w:pPr>
              <w:widowControl w:val="0"/>
              <w:spacing w:line="240" w:lineRule="auto"/>
              <w:jc w:val="center"/>
              <w:rPr>
                <w:sz w:val="18"/>
                <w:szCs w:val="18"/>
              </w:rPr>
            </w:pPr>
            <w:r>
              <w:rPr>
                <w:sz w:val="18"/>
                <w:szCs w:val="18"/>
              </w:rPr>
              <w:t xml:space="preserve">300 </w:t>
            </w:r>
          </w:p>
        </w:tc>
        <w:tc>
          <w:tcPr>
            <w:tcW w:w="105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44F4F47F" w14:textId="77777777" w:rsidR="004034C6" w:rsidRDefault="006C59F2">
            <w:pPr>
              <w:widowControl w:val="0"/>
              <w:spacing w:line="240" w:lineRule="auto"/>
              <w:jc w:val="center"/>
              <w:rPr>
                <w:sz w:val="18"/>
                <w:szCs w:val="18"/>
              </w:rPr>
            </w:pPr>
            <w:r>
              <w:rPr>
                <w:sz w:val="18"/>
                <w:szCs w:val="18"/>
              </w:rPr>
              <w:t xml:space="preserve">460 </w:t>
            </w:r>
          </w:p>
        </w:tc>
        <w:tc>
          <w:tcPr>
            <w:tcW w:w="64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04548634" w14:textId="77777777" w:rsidR="004034C6" w:rsidRDefault="006C59F2">
            <w:pPr>
              <w:widowControl w:val="0"/>
              <w:spacing w:line="240" w:lineRule="auto"/>
              <w:jc w:val="center"/>
              <w:rPr>
                <w:sz w:val="18"/>
                <w:szCs w:val="18"/>
              </w:rPr>
            </w:pPr>
            <w:r>
              <w:rPr>
                <w:sz w:val="18"/>
                <w:szCs w:val="18"/>
              </w:rPr>
              <w:t>19</w:t>
            </w:r>
          </w:p>
        </w:tc>
      </w:tr>
      <w:tr w:rsidR="004034C6" w14:paraId="510DE560" w14:textId="77777777">
        <w:trPr>
          <w:jc w:val="center"/>
        </w:trPr>
        <w:tc>
          <w:tcPr>
            <w:tcW w:w="216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45748DD6" w14:textId="77777777" w:rsidR="004034C6" w:rsidRDefault="006C59F2">
            <w:pPr>
              <w:widowControl w:val="0"/>
              <w:spacing w:line="240" w:lineRule="auto"/>
              <w:ind w:left="112"/>
              <w:jc w:val="both"/>
              <w:rPr>
                <w:sz w:val="18"/>
                <w:szCs w:val="18"/>
              </w:rPr>
            </w:pPr>
            <w:r>
              <w:rPr>
                <w:sz w:val="18"/>
                <w:szCs w:val="18"/>
              </w:rPr>
              <w:t xml:space="preserve">Alto Alberdi </w:t>
            </w:r>
          </w:p>
        </w:tc>
        <w:tc>
          <w:tcPr>
            <w:tcW w:w="118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23721A18" w14:textId="77777777" w:rsidR="004034C6" w:rsidRDefault="006C59F2">
            <w:pPr>
              <w:widowControl w:val="0"/>
              <w:spacing w:line="240" w:lineRule="auto"/>
              <w:jc w:val="center"/>
              <w:rPr>
                <w:sz w:val="18"/>
                <w:szCs w:val="18"/>
              </w:rPr>
            </w:pPr>
            <w:r>
              <w:rPr>
                <w:sz w:val="18"/>
                <w:szCs w:val="18"/>
              </w:rPr>
              <w:t xml:space="preserve">11.577 </w:t>
            </w:r>
          </w:p>
        </w:tc>
        <w:tc>
          <w:tcPr>
            <w:tcW w:w="112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6B5FCBE7" w14:textId="77777777" w:rsidR="004034C6" w:rsidRDefault="006C59F2">
            <w:pPr>
              <w:widowControl w:val="0"/>
              <w:spacing w:line="240" w:lineRule="auto"/>
              <w:jc w:val="center"/>
              <w:rPr>
                <w:sz w:val="18"/>
                <w:szCs w:val="18"/>
              </w:rPr>
            </w:pPr>
            <w:r>
              <w:rPr>
                <w:sz w:val="18"/>
                <w:szCs w:val="18"/>
              </w:rPr>
              <w:t xml:space="preserve">390 </w:t>
            </w:r>
          </w:p>
        </w:tc>
        <w:tc>
          <w:tcPr>
            <w:tcW w:w="97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551E5E2B" w14:textId="77777777" w:rsidR="004034C6" w:rsidRDefault="006C59F2">
            <w:pPr>
              <w:widowControl w:val="0"/>
              <w:spacing w:line="240" w:lineRule="auto"/>
              <w:jc w:val="center"/>
              <w:rPr>
                <w:sz w:val="18"/>
                <w:szCs w:val="18"/>
              </w:rPr>
            </w:pPr>
            <w:r>
              <w:rPr>
                <w:sz w:val="18"/>
                <w:szCs w:val="18"/>
              </w:rPr>
              <w:t xml:space="preserve">385 </w:t>
            </w:r>
          </w:p>
        </w:tc>
        <w:tc>
          <w:tcPr>
            <w:tcW w:w="88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090F7E34" w14:textId="77777777" w:rsidR="004034C6" w:rsidRDefault="006C59F2">
            <w:pPr>
              <w:widowControl w:val="0"/>
              <w:spacing w:line="240" w:lineRule="auto"/>
              <w:jc w:val="center"/>
              <w:rPr>
                <w:sz w:val="18"/>
                <w:szCs w:val="18"/>
              </w:rPr>
            </w:pPr>
            <w:r>
              <w:rPr>
                <w:sz w:val="18"/>
                <w:szCs w:val="18"/>
              </w:rPr>
              <w:t xml:space="preserve">280 </w:t>
            </w:r>
          </w:p>
        </w:tc>
        <w:tc>
          <w:tcPr>
            <w:tcW w:w="105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3269378E" w14:textId="77777777" w:rsidR="004034C6" w:rsidRDefault="006C59F2">
            <w:pPr>
              <w:widowControl w:val="0"/>
              <w:spacing w:line="240" w:lineRule="auto"/>
              <w:jc w:val="center"/>
              <w:rPr>
                <w:sz w:val="18"/>
                <w:szCs w:val="18"/>
              </w:rPr>
            </w:pPr>
            <w:r>
              <w:rPr>
                <w:sz w:val="18"/>
                <w:szCs w:val="18"/>
              </w:rPr>
              <w:t xml:space="preserve">460 </w:t>
            </w:r>
          </w:p>
        </w:tc>
        <w:tc>
          <w:tcPr>
            <w:tcW w:w="64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098511F0" w14:textId="77777777" w:rsidR="004034C6" w:rsidRDefault="006C59F2">
            <w:pPr>
              <w:widowControl w:val="0"/>
              <w:spacing w:line="240" w:lineRule="auto"/>
              <w:jc w:val="center"/>
              <w:rPr>
                <w:sz w:val="18"/>
                <w:szCs w:val="18"/>
              </w:rPr>
            </w:pPr>
            <w:r>
              <w:rPr>
                <w:sz w:val="18"/>
                <w:szCs w:val="18"/>
              </w:rPr>
              <w:t>22</w:t>
            </w:r>
          </w:p>
        </w:tc>
      </w:tr>
      <w:tr w:rsidR="004034C6" w14:paraId="10391B58" w14:textId="77777777">
        <w:trPr>
          <w:jc w:val="center"/>
        </w:trPr>
        <w:tc>
          <w:tcPr>
            <w:tcW w:w="216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1D256EC4" w14:textId="77777777" w:rsidR="004034C6" w:rsidRDefault="006C59F2">
            <w:pPr>
              <w:widowControl w:val="0"/>
              <w:spacing w:line="240" w:lineRule="auto"/>
              <w:ind w:left="122"/>
              <w:jc w:val="both"/>
              <w:rPr>
                <w:sz w:val="18"/>
                <w:szCs w:val="18"/>
              </w:rPr>
            </w:pPr>
            <w:r>
              <w:rPr>
                <w:sz w:val="18"/>
                <w:szCs w:val="18"/>
              </w:rPr>
              <w:t xml:space="preserve">General Paz </w:t>
            </w:r>
          </w:p>
        </w:tc>
        <w:tc>
          <w:tcPr>
            <w:tcW w:w="118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40171558" w14:textId="77777777" w:rsidR="004034C6" w:rsidRDefault="006C59F2">
            <w:pPr>
              <w:widowControl w:val="0"/>
              <w:spacing w:line="240" w:lineRule="auto"/>
              <w:jc w:val="center"/>
              <w:rPr>
                <w:sz w:val="18"/>
                <w:szCs w:val="18"/>
              </w:rPr>
            </w:pPr>
            <w:r>
              <w:rPr>
                <w:sz w:val="18"/>
                <w:szCs w:val="18"/>
              </w:rPr>
              <w:t xml:space="preserve">10.501 </w:t>
            </w:r>
          </w:p>
        </w:tc>
        <w:tc>
          <w:tcPr>
            <w:tcW w:w="112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509A9707" w14:textId="77777777" w:rsidR="004034C6" w:rsidRDefault="006C59F2">
            <w:pPr>
              <w:widowControl w:val="0"/>
              <w:spacing w:line="240" w:lineRule="auto"/>
              <w:jc w:val="center"/>
              <w:rPr>
                <w:sz w:val="18"/>
                <w:szCs w:val="18"/>
              </w:rPr>
            </w:pPr>
            <w:r>
              <w:rPr>
                <w:sz w:val="18"/>
                <w:szCs w:val="18"/>
              </w:rPr>
              <w:t xml:space="preserve">440 </w:t>
            </w:r>
          </w:p>
        </w:tc>
        <w:tc>
          <w:tcPr>
            <w:tcW w:w="97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55A0BB03" w14:textId="77777777" w:rsidR="004034C6" w:rsidRDefault="006C59F2">
            <w:pPr>
              <w:widowControl w:val="0"/>
              <w:spacing w:line="240" w:lineRule="auto"/>
              <w:jc w:val="center"/>
              <w:rPr>
                <w:sz w:val="18"/>
                <w:szCs w:val="18"/>
              </w:rPr>
            </w:pPr>
            <w:r>
              <w:rPr>
                <w:sz w:val="18"/>
                <w:szCs w:val="18"/>
              </w:rPr>
              <w:t xml:space="preserve">442 </w:t>
            </w:r>
          </w:p>
        </w:tc>
        <w:tc>
          <w:tcPr>
            <w:tcW w:w="88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12334945" w14:textId="77777777" w:rsidR="004034C6" w:rsidRDefault="006C59F2">
            <w:pPr>
              <w:widowControl w:val="0"/>
              <w:spacing w:line="240" w:lineRule="auto"/>
              <w:jc w:val="center"/>
              <w:rPr>
                <w:sz w:val="18"/>
                <w:szCs w:val="18"/>
              </w:rPr>
            </w:pPr>
            <w:r>
              <w:rPr>
                <w:sz w:val="18"/>
                <w:szCs w:val="18"/>
              </w:rPr>
              <w:t xml:space="preserve">360 </w:t>
            </w:r>
          </w:p>
        </w:tc>
        <w:tc>
          <w:tcPr>
            <w:tcW w:w="105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548E941D" w14:textId="77777777" w:rsidR="004034C6" w:rsidRDefault="006C59F2">
            <w:pPr>
              <w:widowControl w:val="0"/>
              <w:spacing w:line="240" w:lineRule="auto"/>
              <w:jc w:val="center"/>
              <w:rPr>
                <w:sz w:val="18"/>
                <w:szCs w:val="18"/>
              </w:rPr>
            </w:pPr>
            <w:r>
              <w:rPr>
                <w:sz w:val="18"/>
                <w:szCs w:val="18"/>
              </w:rPr>
              <w:t xml:space="preserve">500 </w:t>
            </w:r>
          </w:p>
        </w:tc>
        <w:tc>
          <w:tcPr>
            <w:tcW w:w="64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7CD4F147" w14:textId="77777777" w:rsidR="004034C6" w:rsidRDefault="006C59F2">
            <w:pPr>
              <w:widowControl w:val="0"/>
              <w:spacing w:line="240" w:lineRule="auto"/>
              <w:jc w:val="center"/>
              <w:rPr>
                <w:sz w:val="18"/>
                <w:szCs w:val="18"/>
              </w:rPr>
            </w:pPr>
            <w:r>
              <w:rPr>
                <w:sz w:val="18"/>
                <w:szCs w:val="18"/>
              </w:rPr>
              <w:t>26</w:t>
            </w:r>
          </w:p>
        </w:tc>
      </w:tr>
      <w:tr w:rsidR="004034C6" w14:paraId="61539AC5" w14:textId="77777777">
        <w:trPr>
          <w:jc w:val="center"/>
        </w:trPr>
        <w:tc>
          <w:tcPr>
            <w:tcW w:w="216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79DABDD5" w14:textId="77777777" w:rsidR="004034C6" w:rsidRDefault="006C59F2">
            <w:pPr>
              <w:widowControl w:val="0"/>
              <w:spacing w:line="240" w:lineRule="auto"/>
              <w:ind w:left="122"/>
              <w:jc w:val="both"/>
              <w:rPr>
                <w:sz w:val="18"/>
                <w:szCs w:val="18"/>
              </w:rPr>
            </w:pPr>
            <w:r>
              <w:rPr>
                <w:sz w:val="18"/>
                <w:szCs w:val="18"/>
              </w:rPr>
              <w:t xml:space="preserve">General </w:t>
            </w:r>
            <w:proofErr w:type="spellStart"/>
            <w:r>
              <w:rPr>
                <w:sz w:val="18"/>
                <w:szCs w:val="18"/>
              </w:rPr>
              <w:t>Pueyrredon</w:t>
            </w:r>
            <w:proofErr w:type="spellEnd"/>
            <w:r>
              <w:rPr>
                <w:sz w:val="18"/>
                <w:szCs w:val="18"/>
              </w:rPr>
              <w:t xml:space="preserve"> </w:t>
            </w:r>
          </w:p>
        </w:tc>
        <w:tc>
          <w:tcPr>
            <w:tcW w:w="118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57B17D6D" w14:textId="77777777" w:rsidR="004034C6" w:rsidRDefault="006C59F2">
            <w:pPr>
              <w:widowControl w:val="0"/>
              <w:spacing w:line="240" w:lineRule="auto"/>
              <w:jc w:val="center"/>
              <w:rPr>
                <w:sz w:val="18"/>
                <w:szCs w:val="18"/>
              </w:rPr>
            </w:pPr>
            <w:r>
              <w:rPr>
                <w:sz w:val="18"/>
                <w:szCs w:val="18"/>
              </w:rPr>
              <w:t xml:space="preserve">8.725 </w:t>
            </w:r>
          </w:p>
        </w:tc>
        <w:tc>
          <w:tcPr>
            <w:tcW w:w="112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4F25B1E9" w14:textId="77777777" w:rsidR="004034C6" w:rsidRDefault="006C59F2">
            <w:pPr>
              <w:widowControl w:val="0"/>
              <w:spacing w:line="240" w:lineRule="auto"/>
              <w:jc w:val="center"/>
              <w:rPr>
                <w:sz w:val="18"/>
                <w:szCs w:val="18"/>
              </w:rPr>
            </w:pPr>
            <w:r>
              <w:rPr>
                <w:sz w:val="18"/>
                <w:szCs w:val="18"/>
              </w:rPr>
              <w:t xml:space="preserve">380 </w:t>
            </w:r>
          </w:p>
        </w:tc>
        <w:tc>
          <w:tcPr>
            <w:tcW w:w="97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74272663" w14:textId="77777777" w:rsidR="004034C6" w:rsidRDefault="006C59F2">
            <w:pPr>
              <w:widowControl w:val="0"/>
              <w:spacing w:line="240" w:lineRule="auto"/>
              <w:jc w:val="center"/>
              <w:rPr>
                <w:sz w:val="18"/>
                <w:szCs w:val="18"/>
              </w:rPr>
            </w:pPr>
            <w:r>
              <w:rPr>
                <w:sz w:val="18"/>
                <w:szCs w:val="18"/>
              </w:rPr>
              <w:t xml:space="preserve">394 </w:t>
            </w:r>
          </w:p>
        </w:tc>
        <w:tc>
          <w:tcPr>
            <w:tcW w:w="88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1CF88FA4" w14:textId="77777777" w:rsidR="004034C6" w:rsidRDefault="006C59F2">
            <w:pPr>
              <w:widowControl w:val="0"/>
              <w:spacing w:line="240" w:lineRule="auto"/>
              <w:jc w:val="center"/>
              <w:rPr>
                <w:sz w:val="18"/>
                <w:szCs w:val="18"/>
              </w:rPr>
            </w:pPr>
            <w:r>
              <w:rPr>
                <w:sz w:val="18"/>
                <w:szCs w:val="18"/>
              </w:rPr>
              <w:t xml:space="preserve">320 </w:t>
            </w:r>
          </w:p>
        </w:tc>
        <w:tc>
          <w:tcPr>
            <w:tcW w:w="105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06AB3ACF" w14:textId="77777777" w:rsidR="004034C6" w:rsidRDefault="006C59F2">
            <w:pPr>
              <w:widowControl w:val="0"/>
              <w:spacing w:line="240" w:lineRule="auto"/>
              <w:jc w:val="center"/>
              <w:rPr>
                <w:sz w:val="18"/>
                <w:szCs w:val="18"/>
              </w:rPr>
            </w:pPr>
            <w:r>
              <w:rPr>
                <w:sz w:val="18"/>
                <w:szCs w:val="18"/>
              </w:rPr>
              <w:t xml:space="preserve">550 </w:t>
            </w:r>
          </w:p>
        </w:tc>
        <w:tc>
          <w:tcPr>
            <w:tcW w:w="64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71FBBB76" w14:textId="77777777" w:rsidR="004034C6" w:rsidRDefault="006C59F2">
            <w:pPr>
              <w:widowControl w:val="0"/>
              <w:spacing w:line="240" w:lineRule="auto"/>
              <w:jc w:val="center"/>
              <w:rPr>
                <w:sz w:val="18"/>
                <w:szCs w:val="18"/>
              </w:rPr>
            </w:pPr>
            <w:r>
              <w:rPr>
                <w:sz w:val="18"/>
                <w:szCs w:val="18"/>
              </w:rPr>
              <w:t>47</w:t>
            </w:r>
          </w:p>
        </w:tc>
      </w:tr>
      <w:tr w:rsidR="004034C6" w14:paraId="6E604B4D" w14:textId="77777777">
        <w:trPr>
          <w:jc w:val="center"/>
        </w:trPr>
        <w:tc>
          <w:tcPr>
            <w:tcW w:w="216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5F656FF9" w14:textId="77777777" w:rsidR="004034C6" w:rsidRDefault="006C59F2">
            <w:pPr>
              <w:widowControl w:val="0"/>
              <w:spacing w:line="240" w:lineRule="auto"/>
              <w:ind w:left="122"/>
              <w:jc w:val="both"/>
              <w:rPr>
                <w:sz w:val="18"/>
                <w:szCs w:val="18"/>
              </w:rPr>
            </w:pPr>
            <w:proofErr w:type="spellStart"/>
            <w:r>
              <w:rPr>
                <w:sz w:val="18"/>
                <w:szCs w:val="18"/>
              </w:rPr>
              <w:t>Guemes</w:t>
            </w:r>
            <w:proofErr w:type="spellEnd"/>
            <w:r>
              <w:rPr>
                <w:sz w:val="18"/>
                <w:szCs w:val="18"/>
              </w:rPr>
              <w:t xml:space="preserve"> </w:t>
            </w:r>
          </w:p>
        </w:tc>
        <w:tc>
          <w:tcPr>
            <w:tcW w:w="118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51859FB0" w14:textId="77777777" w:rsidR="004034C6" w:rsidRDefault="006C59F2">
            <w:pPr>
              <w:widowControl w:val="0"/>
              <w:spacing w:line="240" w:lineRule="auto"/>
              <w:jc w:val="center"/>
              <w:rPr>
                <w:sz w:val="18"/>
                <w:szCs w:val="18"/>
              </w:rPr>
            </w:pPr>
            <w:r>
              <w:rPr>
                <w:sz w:val="18"/>
                <w:szCs w:val="18"/>
              </w:rPr>
              <w:t xml:space="preserve">8.372 </w:t>
            </w:r>
          </w:p>
        </w:tc>
        <w:tc>
          <w:tcPr>
            <w:tcW w:w="112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0E4C02ED" w14:textId="77777777" w:rsidR="004034C6" w:rsidRDefault="006C59F2">
            <w:pPr>
              <w:widowControl w:val="0"/>
              <w:spacing w:line="240" w:lineRule="auto"/>
              <w:jc w:val="center"/>
              <w:rPr>
                <w:sz w:val="18"/>
                <w:szCs w:val="18"/>
              </w:rPr>
            </w:pPr>
            <w:r>
              <w:rPr>
                <w:sz w:val="18"/>
                <w:szCs w:val="18"/>
              </w:rPr>
              <w:t xml:space="preserve">420 </w:t>
            </w:r>
          </w:p>
        </w:tc>
        <w:tc>
          <w:tcPr>
            <w:tcW w:w="97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1518E55D" w14:textId="77777777" w:rsidR="004034C6" w:rsidRDefault="006C59F2">
            <w:pPr>
              <w:widowControl w:val="0"/>
              <w:spacing w:line="240" w:lineRule="auto"/>
              <w:jc w:val="center"/>
              <w:rPr>
                <w:sz w:val="18"/>
                <w:szCs w:val="18"/>
              </w:rPr>
            </w:pPr>
            <w:r>
              <w:rPr>
                <w:sz w:val="18"/>
                <w:szCs w:val="18"/>
              </w:rPr>
              <w:t xml:space="preserve">423 </w:t>
            </w:r>
          </w:p>
        </w:tc>
        <w:tc>
          <w:tcPr>
            <w:tcW w:w="88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7723DB27" w14:textId="77777777" w:rsidR="004034C6" w:rsidRDefault="006C59F2">
            <w:pPr>
              <w:widowControl w:val="0"/>
              <w:spacing w:line="240" w:lineRule="auto"/>
              <w:jc w:val="center"/>
              <w:rPr>
                <w:sz w:val="18"/>
                <w:szCs w:val="18"/>
              </w:rPr>
            </w:pPr>
            <w:r>
              <w:rPr>
                <w:sz w:val="18"/>
                <w:szCs w:val="18"/>
              </w:rPr>
              <w:t xml:space="preserve">360 </w:t>
            </w:r>
          </w:p>
        </w:tc>
        <w:tc>
          <w:tcPr>
            <w:tcW w:w="105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359B541D" w14:textId="77777777" w:rsidR="004034C6" w:rsidRDefault="006C59F2">
            <w:pPr>
              <w:widowControl w:val="0"/>
              <w:spacing w:line="240" w:lineRule="auto"/>
              <w:jc w:val="center"/>
              <w:rPr>
                <w:sz w:val="18"/>
                <w:szCs w:val="18"/>
              </w:rPr>
            </w:pPr>
            <w:r>
              <w:rPr>
                <w:sz w:val="18"/>
                <w:szCs w:val="18"/>
              </w:rPr>
              <w:t xml:space="preserve">550 </w:t>
            </w:r>
          </w:p>
        </w:tc>
        <w:tc>
          <w:tcPr>
            <w:tcW w:w="64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22F6BA92" w14:textId="77777777" w:rsidR="004034C6" w:rsidRDefault="006C59F2">
            <w:pPr>
              <w:widowControl w:val="0"/>
              <w:spacing w:line="240" w:lineRule="auto"/>
              <w:jc w:val="center"/>
              <w:rPr>
                <w:sz w:val="18"/>
                <w:szCs w:val="18"/>
              </w:rPr>
            </w:pPr>
            <w:r>
              <w:rPr>
                <w:sz w:val="18"/>
                <w:szCs w:val="18"/>
              </w:rPr>
              <w:t>28</w:t>
            </w:r>
          </w:p>
        </w:tc>
      </w:tr>
      <w:tr w:rsidR="004034C6" w14:paraId="568E1F3C" w14:textId="77777777">
        <w:trPr>
          <w:trHeight w:val="207"/>
          <w:jc w:val="center"/>
        </w:trPr>
        <w:tc>
          <w:tcPr>
            <w:tcW w:w="2160" w:type="dxa"/>
            <w:vMerge w:val="restart"/>
            <w:tcBorders>
              <w:top w:val="single" w:sz="8" w:space="0" w:color="666666"/>
              <w:left w:val="nil"/>
              <w:right w:val="nil"/>
            </w:tcBorders>
            <w:shd w:val="clear" w:color="auto" w:fill="auto"/>
            <w:tcMar>
              <w:top w:w="17" w:type="dxa"/>
              <w:left w:w="17" w:type="dxa"/>
              <w:bottom w:w="17" w:type="dxa"/>
              <w:right w:w="17" w:type="dxa"/>
            </w:tcMar>
            <w:vAlign w:val="center"/>
          </w:tcPr>
          <w:p w14:paraId="7F35C81F" w14:textId="630A6757" w:rsidR="004034C6" w:rsidRDefault="006C59F2">
            <w:pPr>
              <w:widowControl w:val="0"/>
              <w:spacing w:line="240" w:lineRule="auto"/>
              <w:ind w:left="126"/>
              <w:jc w:val="both"/>
              <w:rPr>
                <w:sz w:val="18"/>
                <w:szCs w:val="18"/>
              </w:rPr>
            </w:pPr>
            <w:r>
              <w:rPr>
                <w:sz w:val="18"/>
                <w:szCs w:val="18"/>
              </w:rPr>
              <w:t>Nueva Córdob</w:t>
            </w:r>
            <w:r w:rsidR="000466C0">
              <w:rPr>
                <w:sz w:val="18"/>
                <w:szCs w:val="18"/>
              </w:rPr>
              <w:t>a</w:t>
            </w:r>
          </w:p>
        </w:tc>
        <w:tc>
          <w:tcPr>
            <w:tcW w:w="1185" w:type="dxa"/>
            <w:vMerge w:val="restart"/>
            <w:tcBorders>
              <w:top w:val="single" w:sz="8" w:space="0" w:color="666666"/>
              <w:left w:val="nil"/>
              <w:right w:val="nil"/>
            </w:tcBorders>
            <w:shd w:val="clear" w:color="auto" w:fill="auto"/>
            <w:tcMar>
              <w:top w:w="17" w:type="dxa"/>
              <w:left w:w="17" w:type="dxa"/>
              <w:bottom w:w="17" w:type="dxa"/>
              <w:right w:w="17" w:type="dxa"/>
            </w:tcMar>
            <w:vAlign w:val="center"/>
          </w:tcPr>
          <w:p w14:paraId="4D4B56E8" w14:textId="77777777" w:rsidR="004034C6" w:rsidRDefault="006C59F2">
            <w:pPr>
              <w:widowControl w:val="0"/>
              <w:spacing w:line="240" w:lineRule="auto"/>
              <w:jc w:val="center"/>
              <w:rPr>
                <w:sz w:val="18"/>
                <w:szCs w:val="18"/>
              </w:rPr>
            </w:pPr>
            <w:r>
              <w:rPr>
                <w:sz w:val="18"/>
                <w:szCs w:val="18"/>
              </w:rPr>
              <w:t xml:space="preserve">44.223 </w:t>
            </w:r>
          </w:p>
        </w:tc>
        <w:tc>
          <w:tcPr>
            <w:tcW w:w="1125" w:type="dxa"/>
            <w:vMerge w:val="restart"/>
            <w:tcBorders>
              <w:top w:val="single" w:sz="8" w:space="0" w:color="666666"/>
              <w:left w:val="nil"/>
              <w:right w:val="nil"/>
            </w:tcBorders>
            <w:shd w:val="clear" w:color="auto" w:fill="auto"/>
            <w:tcMar>
              <w:top w:w="17" w:type="dxa"/>
              <w:left w:w="17" w:type="dxa"/>
              <w:bottom w:w="17" w:type="dxa"/>
              <w:right w:w="17" w:type="dxa"/>
            </w:tcMar>
            <w:vAlign w:val="center"/>
          </w:tcPr>
          <w:p w14:paraId="5E51CFAE" w14:textId="77777777" w:rsidR="004034C6" w:rsidRDefault="006C59F2">
            <w:pPr>
              <w:widowControl w:val="0"/>
              <w:spacing w:line="240" w:lineRule="auto"/>
              <w:jc w:val="center"/>
              <w:rPr>
                <w:sz w:val="18"/>
                <w:szCs w:val="18"/>
              </w:rPr>
            </w:pPr>
            <w:r>
              <w:rPr>
                <w:sz w:val="18"/>
                <w:szCs w:val="18"/>
              </w:rPr>
              <w:t xml:space="preserve">490 </w:t>
            </w:r>
          </w:p>
        </w:tc>
        <w:tc>
          <w:tcPr>
            <w:tcW w:w="975" w:type="dxa"/>
            <w:vMerge w:val="restart"/>
            <w:tcBorders>
              <w:top w:val="single" w:sz="8" w:space="0" w:color="666666"/>
              <w:left w:val="nil"/>
              <w:right w:val="nil"/>
            </w:tcBorders>
            <w:shd w:val="clear" w:color="auto" w:fill="auto"/>
            <w:tcMar>
              <w:top w:w="17" w:type="dxa"/>
              <w:left w:w="17" w:type="dxa"/>
              <w:bottom w:w="17" w:type="dxa"/>
              <w:right w:w="17" w:type="dxa"/>
            </w:tcMar>
            <w:vAlign w:val="center"/>
          </w:tcPr>
          <w:p w14:paraId="03993868" w14:textId="77777777" w:rsidR="004034C6" w:rsidRDefault="006C59F2">
            <w:pPr>
              <w:widowControl w:val="0"/>
              <w:spacing w:line="240" w:lineRule="auto"/>
              <w:jc w:val="center"/>
              <w:rPr>
                <w:sz w:val="18"/>
                <w:szCs w:val="18"/>
              </w:rPr>
            </w:pPr>
            <w:r>
              <w:rPr>
                <w:sz w:val="18"/>
                <w:szCs w:val="18"/>
              </w:rPr>
              <w:t xml:space="preserve">495 </w:t>
            </w:r>
          </w:p>
        </w:tc>
        <w:tc>
          <w:tcPr>
            <w:tcW w:w="885" w:type="dxa"/>
            <w:vMerge w:val="restart"/>
            <w:tcBorders>
              <w:top w:val="single" w:sz="8" w:space="0" w:color="666666"/>
              <w:left w:val="nil"/>
              <w:right w:val="nil"/>
            </w:tcBorders>
            <w:shd w:val="clear" w:color="auto" w:fill="auto"/>
            <w:tcMar>
              <w:top w:w="17" w:type="dxa"/>
              <w:left w:w="17" w:type="dxa"/>
              <w:bottom w:w="17" w:type="dxa"/>
              <w:right w:w="17" w:type="dxa"/>
            </w:tcMar>
            <w:vAlign w:val="center"/>
          </w:tcPr>
          <w:p w14:paraId="28159A5E" w14:textId="77777777" w:rsidR="004034C6" w:rsidRDefault="006C59F2">
            <w:pPr>
              <w:widowControl w:val="0"/>
              <w:spacing w:line="240" w:lineRule="auto"/>
              <w:jc w:val="center"/>
              <w:rPr>
                <w:sz w:val="18"/>
                <w:szCs w:val="18"/>
              </w:rPr>
            </w:pPr>
            <w:r>
              <w:rPr>
                <w:sz w:val="18"/>
                <w:szCs w:val="18"/>
              </w:rPr>
              <w:t xml:space="preserve">420 </w:t>
            </w:r>
          </w:p>
        </w:tc>
        <w:tc>
          <w:tcPr>
            <w:tcW w:w="1050" w:type="dxa"/>
            <w:vMerge w:val="restart"/>
            <w:tcBorders>
              <w:top w:val="single" w:sz="8" w:space="0" w:color="666666"/>
              <w:left w:val="nil"/>
              <w:right w:val="nil"/>
            </w:tcBorders>
            <w:shd w:val="clear" w:color="auto" w:fill="auto"/>
            <w:tcMar>
              <w:top w:w="17" w:type="dxa"/>
              <w:left w:w="17" w:type="dxa"/>
              <w:bottom w:w="17" w:type="dxa"/>
              <w:right w:w="17" w:type="dxa"/>
            </w:tcMar>
            <w:vAlign w:val="center"/>
          </w:tcPr>
          <w:p w14:paraId="5FCFBE8B" w14:textId="77777777" w:rsidR="004034C6" w:rsidRDefault="006C59F2">
            <w:pPr>
              <w:widowControl w:val="0"/>
              <w:spacing w:line="240" w:lineRule="auto"/>
              <w:jc w:val="center"/>
              <w:rPr>
                <w:sz w:val="18"/>
                <w:szCs w:val="18"/>
              </w:rPr>
            </w:pPr>
            <w:r>
              <w:rPr>
                <w:sz w:val="18"/>
                <w:szCs w:val="18"/>
              </w:rPr>
              <w:t xml:space="preserve">750 </w:t>
            </w:r>
          </w:p>
        </w:tc>
        <w:tc>
          <w:tcPr>
            <w:tcW w:w="645" w:type="dxa"/>
            <w:vMerge w:val="restart"/>
            <w:tcBorders>
              <w:top w:val="single" w:sz="8" w:space="0" w:color="666666"/>
              <w:left w:val="nil"/>
              <w:right w:val="nil"/>
            </w:tcBorders>
            <w:shd w:val="clear" w:color="auto" w:fill="auto"/>
            <w:tcMar>
              <w:top w:w="17" w:type="dxa"/>
              <w:left w:w="17" w:type="dxa"/>
              <w:bottom w:w="17" w:type="dxa"/>
              <w:right w:w="17" w:type="dxa"/>
            </w:tcMar>
            <w:vAlign w:val="center"/>
          </w:tcPr>
          <w:p w14:paraId="3FCDD5C1" w14:textId="77777777" w:rsidR="004034C6" w:rsidRDefault="006C59F2">
            <w:pPr>
              <w:widowControl w:val="0"/>
              <w:spacing w:line="240" w:lineRule="auto"/>
              <w:jc w:val="center"/>
              <w:rPr>
                <w:sz w:val="18"/>
                <w:szCs w:val="18"/>
              </w:rPr>
            </w:pPr>
            <w:r>
              <w:rPr>
                <w:sz w:val="18"/>
                <w:szCs w:val="18"/>
              </w:rPr>
              <w:t>48</w:t>
            </w:r>
          </w:p>
        </w:tc>
      </w:tr>
      <w:tr w:rsidR="004034C6" w14:paraId="17C2AEB4" w14:textId="77777777" w:rsidTr="000466C0">
        <w:trPr>
          <w:trHeight w:val="253"/>
          <w:jc w:val="center"/>
        </w:trPr>
        <w:tc>
          <w:tcPr>
            <w:tcW w:w="2160" w:type="dxa"/>
            <w:vMerge/>
            <w:tcBorders>
              <w:left w:val="nil"/>
              <w:right w:val="nil"/>
            </w:tcBorders>
            <w:shd w:val="clear" w:color="auto" w:fill="auto"/>
            <w:tcMar>
              <w:top w:w="17" w:type="dxa"/>
              <w:left w:w="17" w:type="dxa"/>
              <w:bottom w:w="17" w:type="dxa"/>
              <w:right w:w="17" w:type="dxa"/>
            </w:tcMar>
            <w:vAlign w:val="center"/>
          </w:tcPr>
          <w:p w14:paraId="25511DA3" w14:textId="77777777" w:rsidR="004034C6" w:rsidRDefault="004034C6">
            <w:pPr>
              <w:widowControl w:val="0"/>
              <w:spacing w:line="240" w:lineRule="auto"/>
              <w:jc w:val="both"/>
            </w:pPr>
          </w:p>
        </w:tc>
        <w:tc>
          <w:tcPr>
            <w:tcW w:w="1185" w:type="dxa"/>
            <w:vMerge/>
            <w:tcBorders>
              <w:left w:val="nil"/>
              <w:right w:val="nil"/>
            </w:tcBorders>
            <w:shd w:val="clear" w:color="auto" w:fill="auto"/>
            <w:tcMar>
              <w:top w:w="17" w:type="dxa"/>
              <w:left w:w="17" w:type="dxa"/>
              <w:bottom w:w="17" w:type="dxa"/>
              <w:right w:w="17" w:type="dxa"/>
            </w:tcMar>
            <w:vAlign w:val="center"/>
          </w:tcPr>
          <w:p w14:paraId="33EAABB7" w14:textId="77777777" w:rsidR="004034C6" w:rsidRDefault="004034C6">
            <w:pPr>
              <w:widowControl w:val="0"/>
              <w:spacing w:line="240" w:lineRule="auto"/>
              <w:jc w:val="both"/>
            </w:pPr>
          </w:p>
        </w:tc>
        <w:tc>
          <w:tcPr>
            <w:tcW w:w="1125" w:type="dxa"/>
            <w:vMerge/>
            <w:tcBorders>
              <w:left w:val="nil"/>
              <w:right w:val="nil"/>
            </w:tcBorders>
            <w:shd w:val="clear" w:color="auto" w:fill="auto"/>
            <w:tcMar>
              <w:top w:w="17" w:type="dxa"/>
              <w:left w:w="17" w:type="dxa"/>
              <w:bottom w:w="17" w:type="dxa"/>
              <w:right w:w="17" w:type="dxa"/>
            </w:tcMar>
            <w:vAlign w:val="center"/>
          </w:tcPr>
          <w:p w14:paraId="4CCA597B" w14:textId="77777777" w:rsidR="004034C6" w:rsidRDefault="004034C6">
            <w:pPr>
              <w:widowControl w:val="0"/>
              <w:spacing w:line="240" w:lineRule="auto"/>
              <w:jc w:val="both"/>
            </w:pPr>
          </w:p>
        </w:tc>
        <w:tc>
          <w:tcPr>
            <w:tcW w:w="975" w:type="dxa"/>
            <w:vMerge/>
            <w:tcBorders>
              <w:left w:val="nil"/>
              <w:right w:val="nil"/>
            </w:tcBorders>
            <w:shd w:val="clear" w:color="auto" w:fill="auto"/>
            <w:tcMar>
              <w:top w:w="17" w:type="dxa"/>
              <w:left w:w="17" w:type="dxa"/>
              <w:bottom w:w="17" w:type="dxa"/>
              <w:right w:w="17" w:type="dxa"/>
            </w:tcMar>
            <w:vAlign w:val="center"/>
          </w:tcPr>
          <w:p w14:paraId="09D7A0E6" w14:textId="77777777" w:rsidR="004034C6" w:rsidRDefault="004034C6">
            <w:pPr>
              <w:widowControl w:val="0"/>
              <w:spacing w:line="240" w:lineRule="auto"/>
              <w:jc w:val="both"/>
            </w:pPr>
          </w:p>
        </w:tc>
        <w:tc>
          <w:tcPr>
            <w:tcW w:w="885" w:type="dxa"/>
            <w:vMerge/>
            <w:tcBorders>
              <w:left w:val="nil"/>
              <w:right w:val="nil"/>
            </w:tcBorders>
            <w:shd w:val="clear" w:color="auto" w:fill="auto"/>
            <w:tcMar>
              <w:top w:w="17" w:type="dxa"/>
              <w:left w:w="17" w:type="dxa"/>
              <w:bottom w:w="17" w:type="dxa"/>
              <w:right w:w="17" w:type="dxa"/>
            </w:tcMar>
            <w:vAlign w:val="center"/>
          </w:tcPr>
          <w:p w14:paraId="30444988" w14:textId="77777777" w:rsidR="004034C6" w:rsidRDefault="004034C6">
            <w:pPr>
              <w:widowControl w:val="0"/>
              <w:spacing w:line="240" w:lineRule="auto"/>
              <w:jc w:val="both"/>
            </w:pPr>
          </w:p>
        </w:tc>
        <w:tc>
          <w:tcPr>
            <w:tcW w:w="1050" w:type="dxa"/>
            <w:vMerge/>
            <w:tcBorders>
              <w:left w:val="nil"/>
              <w:right w:val="nil"/>
            </w:tcBorders>
            <w:shd w:val="clear" w:color="auto" w:fill="auto"/>
            <w:tcMar>
              <w:top w:w="17" w:type="dxa"/>
              <w:left w:w="17" w:type="dxa"/>
              <w:bottom w:w="17" w:type="dxa"/>
              <w:right w:w="17" w:type="dxa"/>
            </w:tcMar>
            <w:vAlign w:val="center"/>
          </w:tcPr>
          <w:p w14:paraId="46C5C62A" w14:textId="77777777" w:rsidR="004034C6" w:rsidRDefault="004034C6">
            <w:pPr>
              <w:widowControl w:val="0"/>
              <w:spacing w:line="240" w:lineRule="auto"/>
              <w:jc w:val="both"/>
            </w:pPr>
          </w:p>
        </w:tc>
        <w:tc>
          <w:tcPr>
            <w:tcW w:w="645" w:type="dxa"/>
            <w:vMerge/>
            <w:tcBorders>
              <w:left w:val="nil"/>
              <w:right w:val="nil"/>
            </w:tcBorders>
            <w:shd w:val="clear" w:color="auto" w:fill="auto"/>
            <w:tcMar>
              <w:top w:w="17" w:type="dxa"/>
              <w:left w:w="17" w:type="dxa"/>
              <w:bottom w:w="17" w:type="dxa"/>
              <w:right w:w="17" w:type="dxa"/>
            </w:tcMar>
            <w:vAlign w:val="center"/>
          </w:tcPr>
          <w:p w14:paraId="2C501858" w14:textId="77777777" w:rsidR="004034C6" w:rsidRDefault="004034C6">
            <w:pPr>
              <w:widowControl w:val="0"/>
              <w:spacing w:line="240" w:lineRule="auto"/>
              <w:jc w:val="both"/>
            </w:pPr>
          </w:p>
        </w:tc>
      </w:tr>
      <w:tr w:rsidR="004034C6" w14:paraId="607B6929" w14:textId="77777777">
        <w:trPr>
          <w:jc w:val="center"/>
        </w:trPr>
        <w:tc>
          <w:tcPr>
            <w:tcW w:w="2160" w:type="dxa"/>
            <w:tcBorders>
              <w:left w:val="nil"/>
              <w:right w:val="nil"/>
            </w:tcBorders>
            <w:shd w:val="clear" w:color="auto" w:fill="auto"/>
            <w:tcMar>
              <w:top w:w="17" w:type="dxa"/>
              <w:left w:w="17" w:type="dxa"/>
              <w:bottom w:w="17" w:type="dxa"/>
              <w:right w:w="17" w:type="dxa"/>
            </w:tcMar>
            <w:vAlign w:val="center"/>
          </w:tcPr>
          <w:p w14:paraId="22B4F4DA" w14:textId="77777777" w:rsidR="004034C6" w:rsidRDefault="006C59F2">
            <w:pPr>
              <w:widowControl w:val="0"/>
              <w:spacing w:line="240" w:lineRule="auto"/>
              <w:jc w:val="center"/>
              <w:rPr>
                <w:b/>
                <w:sz w:val="18"/>
                <w:szCs w:val="18"/>
              </w:rPr>
            </w:pPr>
            <w:r>
              <w:rPr>
                <w:b/>
                <w:sz w:val="18"/>
                <w:szCs w:val="18"/>
              </w:rPr>
              <w:t xml:space="preserve">TOTAL </w:t>
            </w:r>
          </w:p>
        </w:tc>
        <w:tc>
          <w:tcPr>
            <w:tcW w:w="1185" w:type="dxa"/>
            <w:tcBorders>
              <w:left w:val="nil"/>
              <w:right w:val="nil"/>
            </w:tcBorders>
            <w:shd w:val="clear" w:color="auto" w:fill="auto"/>
            <w:tcMar>
              <w:top w:w="17" w:type="dxa"/>
              <w:left w:w="17" w:type="dxa"/>
              <w:bottom w:w="17" w:type="dxa"/>
              <w:right w:w="17" w:type="dxa"/>
            </w:tcMar>
            <w:vAlign w:val="center"/>
          </w:tcPr>
          <w:p w14:paraId="13221149" w14:textId="77777777" w:rsidR="004034C6" w:rsidRDefault="006C59F2">
            <w:pPr>
              <w:widowControl w:val="0"/>
              <w:spacing w:line="240" w:lineRule="auto"/>
              <w:jc w:val="center"/>
              <w:rPr>
                <w:b/>
                <w:sz w:val="18"/>
                <w:szCs w:val="18"/>
              </w:rPr>
            </w:pPr>
            <w:r>
              <w:rPr>
                <w:b/>
                <w:sz w:val="18"/>
                <w:szCs w:val="18"/>
              </w:rPr>
              <w:t xml:space="preserve">131.005 </w:t>
            </w:r>
          </w:p>
        </w:tc>
        <w:tc>
          <w:tcPr>
            <w:tcW w:w="1125" w:type="dxa"/>
            <w:tcBorders>
              <w:left w:val="nil"/>
              <w:right w:val="nil"/>
            </w:tcBorders>
            <w:shd w:val="clear" w:color="auto" w:fill="auto"/>
            <w:tcMar>
              <w:top w:w="17" w:type="dxa"/>
              <w:left w:w="17" w:type="dxa"/>
              <w:bottom w:w="17" w:type="dxa"/>
              <w:right w:w="17" w:type="dxa"/>
            </w:tcMar>
            <w:vAlign w:val="center"/>
          </w:tcPr>
          <w:p w14:paraId="1CFDD8F1" w14:textId="77777777" w:rsidR="004034C6" w:rsidRDefault="006C59F2">
            <w:pPr>
              <w:widowControl w:val="0"/>
              <w:spacing w:line="240" w:lineRule="auto"/>
              <w:jc w:val="center"/>
              <w:rPr>
                <w:b/>
                <w:sz w:val="18"/>
                <w:szCs w:val="18"/>
              </w:rPr>
            </w:pPr>
            <w:r>
              <w:rPr>
                <w:b/>
                <w:sz w:val="18"/>
                <w:szCs w:val="18"/>
              </w:rPr>
              <w:t xml:space="preserve">420 </w:t>
            </w:r>
          </w:p>
        </w:tc>
        <w:tc>
          <w:tcPr>
            <w:tcW w:w="975" w:type="dxa"/>
            <w:tcBorders>
              <w:left w:val="nil"/>
              <w:right w:val="nil"/>
            </w:tcBorders>
            <w:shd w:val="clear" w:color="auto" w:fill="auto"/>
            <w:tcMar>
              <w:top w:w="17" w:type="dxa"/>
              <w:left w:w="17" w:type="dxa"/>
              <w:bottom w:w="17" w:type="dxa"/>
              <w:right w:w="17" w:type="dxa"/>
            </w:tcMar>
            <w:vAlign w:val="center"/>
          </w:tcPr>
          <w:p w14:paraId="51784A99" w14:textId="77777777" w:rsidR="004034C6" w:rsidRDefault="006C59F2">
            <w:pPr>
              <w:widowControl w:val="0"/>
              <w:spacing w:line="240" w:lineRule="auto"/>
              <w:jc w:val="center"/>
              <w:rPr>
                <w:b/>
                <w:sz w:val="18"/>
                <w:szCs w:val="18"/>
              </w:rPr>
            </w:pPr>
            <w:r>
              <w:rPr>
                <w:b/>
                <w:sz w:val="18"/>
                <w:szCs w:val="18"/>
              </w:rPr>
              <w:t xml:space="preserve">433 </w:t>
            </w:r>
          </w:p>
        </w:tc>
        <w:tc>
          <w:tcPr>
            <w:tcW w:w="885" w:type="dxa"/>
            <w:tcBorders>
              <w:left w:val="nil"/>
              <w:right w:val="nil"/>
            </w:tcBorders>
            <w:shd w:val="clear" w:color="auto" w:fill="auto"/>
            <w:tcMar>
              <w:top w:w="17" w:type="dxa"/>
              <w:left w:w="17" w:type="dxa"/>
              <w:bottom w:w="17" w:type="dxa"/>
              <w:right w:w="17" w:type="dxa"/>
            </w:tcMar>
            <w:vAlign w:val="center"/>
          </w:tcPr>
          <w:p w14:paraId="0ED2C081" w14:textId="77777777" w:rsidR="004034C6" w:rsidRDefault="006C59F2">
            <w:pPr>
              <w:widowControl w:val="0"/>
              <w:spacing w:line="240" w:lineRule="auto"/>
              <w:jc w:val="center"/>
              <w:rPr>
                <w:b/>
                <w:sz w:val="18"/>
                <w:szCs w:val="18"/>
              </w:rPr>
            </w:pPr>
            <w:r>
              <w:rPr>
                <w:b/>
                <w:sz w:val="18"/>
                <w:szCs w:val="18"/>
              </w:rPr>
              <w:t xml:space="preserve">280 </w:t>
            </w:r>
          </w:p>
        </w:tc>
        <w:tc>
          <w:tcPr>
            <w:tcW w:w="1050" w:type="dxa"/>
            <w:tcBorders>
              <w:left w:val="nil"/>
              <w:right w:val="nil"/>
            </w:tcBorders>
            <w:shd w:val="clear" w:color="auto" w:fill="auto"/>
            <w:tcMar>
              <w:top w:w="17" w:type="dxa"/>
              <w:left w:w="17" w:type="dxa"/>
              <w:bottom w:w="17" w:type="dxa"/>
              <w:right w:w="17" w:type="dxa"/>
            </w:tcMar>
            <w:vAlign w:val="center"/>
          </w:tcPr>
          <w:p w14:paraId="462FBE13" w14:textId="77777777" w:rsidR="004034C6" w:rsidRDefault="006C59F2">
            <w:pPr>
              <w:widowControl w:val="0"/>
              <w:spacing w:line="240" w:lineRule="auto"/>
              <w:jc w:val="center"/>
              <w:rPr>
                <w:b/>
                <w:sz w:val="18"/>
                <w:szCs w:val="18"/>
              </w:rPr>
            </w:pPr>
            <w:r>
              <w:rPr>
                <w:b/>
                <w:sz w:val="18"/>
                <w:szCs w:val="18"/>
              </w:rPr>
              <w:t xml:space="preserve">750 </w:t>
            </w:r>
          </w:p>
        </w:tc>
        <w:tc>
          <w:tcPr>
            <w:tcW w:w="645" w:type="dxa"/>
            <w:tcBorders>
              <w:left w:val="nil"/>
              <w:right w:val="nil"/>
            </w:tcBorders>
            <w:shd w:val="clear" w:color="auto" w:fill="auto"/>
            <w:tcMar>
              <w:top w:w="17" w:type="dxa"/>
              <w:left w:w="17" w:type="dxa"/>
              <w:bottom w:w="17" w:type="dxa"/>
              <w:right w:w="17" w:type="dxa"/>
            </w:tcMar>
            <w:vAlign w:val="center"/>
          </w:tcPr>
          <w:p w14:paraId="309BB4FF" w14:textId="77777777" w:rsidR="004034C6" w:rsidRDefault="006C59F2">
            <w:pPr>
              <w:widowControl w:val="0"/>
              <w:spacing w:line="240" w:lineRule="auto"/>
              <w:jc w:val="center"/>
              <w:rPr>
                <w:b/>
                <w:sz w:val="18"/>
                <w:szCs w:val="18"/>
              </w:rPr>
            </w:pPr>
            <w:r>
              <w:rPr>
                <w:b/>
                <w:sz w:val="18"/>
                <w:szCs w:val="18"/>
              </w:rPr>
              <w:t>59</w:t>
            </w:r>
          </w:p>
        </w:tc>
      </w:tr>
    </w:tbl>
    <w:p w14:paraId="797E3184" w14:textId="77777777" w:rsidR="004034C6" w:rsidRPr="00453EB4" w:rsidRDefault="006C59F2">
      <w:pPr>
        <w:spacing w:line="240" w:lineRule="auto"/>
        <w:jc w:val="center"/>
        <w:rPr>
          <w:i/>
          <w:sz w:val="20"/>
          <w:szCs w:val="20"/>
        </w:rPr>
      </w:pPr>
      <w:r w:rsidRPr="00453EB4">
        <w:rPr>
          <w:i/>
          <w:sz w:val="20"/>
          <w:szCs w:val="20"/>
        </w:rPr>
        <w:t>Fuente: Elaboración Propia</w:t>
      </w:r>
    </w:p>
    <w:p w14:paraId="793E9D2B" w14:textId="77777777" w:rsidR="004034C6" w:rsidRDefault="004034C6">
      <w:pPr>
        <w:spacing w:line="240" w:lineRule="auto"/>
        <w:jc w:val="both"/>
      </w:pPr>
    </w:p>
    <w:p w14:paraId="72208383" w14:textId="77777777" w:rsidR="004034C6" w:rsidRDefault="006C59F2">
      <w:pPr>
        <w:spacing w:line="240" w:lineRule="auto"/>
        <w:jc w:val="both"/>
      </w:pPr>
      <w:r>
        <w:t xml:space="preserve">A continuación, se presenta una serie de mapas que permiten visualizar de manera espacial el valor de los alquileres en las distintas ciudades (Figura 2 y 3). Se advierte que generalmente el centro aglomera alquileres de alto valor; sin embargo, existen patrones particulares en cada una de ellas. En la Ciudad de Córdoba, además de los altos valores del centro, resaltan las </w:t>
      </w:r>
      <w:proofErr w:type="gramStart"/>
      <w:r>
        <w:t>zonas  residenciales</w:t>
      </w:r>
      <w:proofErr w:type="gramEnd"/>
      <w:r>
        <w:t xml:space="preserve"> del noroeste y el sur. Los valores más bajos se relacionan con la periferia poco urbanizada de la ciudad. Particularmente, Villa Carlos Paz tiene una estructura de valor fuertemente influenciada por su cualidad turística, ya que los valores más altos de alquiler se encuentran sobre la costanera del lago. Los mínimos, por su lado, se ubican hacia la periferia oeste.</w:t>
      </w:r>
    </w:p>
    <w:p w14:paraId="64623365" w14:textId="77777777" w:rsidR="004034C6" w:rsidRDefault="004034C6">
      <w:pPr>
        <w:spacing w:line="240" w:lineRule="auto"/>
        <w:jc w:val="both"/>
      </w:pPr>
    </w:p>
    <w:p w14:paraId="265A9ECE" w14:textId="0623870B" w:rsidR="004034C6" w:rsidRDefault="006C59F2">
      <w:pPr>
        <w:spacing w:line="240" w:lineRule="auto"/>
        <w:jc w:val="both"/>
      </w:pPr>
      <w:r>
        <w:t xml:space="preserve">La estructura de valor de alquileres de la ciudad de Villa María se ve influenciada por el Río Tercero que atraviesa la ciudad de oeste a sureste. La costanera del río actúa como una fuente de aumentos de valor, encontrando en estas zonas los máximos de la ciudad; los valores más bajos se aglomeran en la zona este de la ciudad. Río Cuarto, por su lado, ve influenciados sus alquileres por la ciudad universitaria y las urbanizaciones residenciales que se encuentran al noroeste, donde los VUA alcanzan sus valores más altos. Hacia el sur de la ciudad los valores tienen una tendencia decreciente. Adicionalmente, San Francisco se presenta como una ciudad </w:t>
      </w:r>
      <w:proofErr w:type="spellStart"/>
      <w:r>
        <w:t>monocéntrica</w:t>
      </w:r>
      <w:proofErr w:type="spellEnd"/>
      <w:r>
        <w:t xml:space="preserve"> en torno al valor del alquiler. Sin embargo, se advierte una tendencia creciente en los alrededores de la zona universitaria. Considerando que el VUA tiene en cuenta valores residenciales, se puede apreciar como la zona industrial (suroeste) se relaciona con bajos valores </w:t>
      </w:r>
      <w:r>
        <w:lastRenderedPageBreak/>
        <w:t>de alquiler. También, la frontera con la provincia de Santa Fe aparece como una zona de bajos precios.</w:t>
      </w:r>
    </w:p>
    <w:p w14:paraId="1C0065C0" w14:textId="77777777" w:rsidR="00453EB4" w:rsidRDefault="00453EB4">
      <w:pPr>
        <w:spacing w:line="240" w:lineRule="auto"/>
        <w:jc w:val="both"/>
      </w:pPr>
    </w:p>
    <w:p w14:paraId="7D8B1B00" w14:textId="77777777" w:rsidR="004034C6" w:rsidRDefault="006C59F2">
      <w:pPr>
        <w:spacing w:line="240" w:lineRule="auto"/>
        <w:jc w:val="both"/>
      </w:pPr>
      <w:r>
        <w:rPr>
          <w:noProof/>
          <w:lang w:val="en-US" w:eastAsia="en-US"/>
        </w:rPr>
        <w:drawing>
          <wp:inline distT="114300" distB="114300" distL="114300" distR="114300" wp14:anchorId="14814F99" wp14:editId="3FD7673D">
            <wp:extent cx="5040000" cy="4699000"/>
            <wp:effectExtent l="0" t="0" r="0" b="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a:srcRect/>
                    <a:stretch>
                      <a:fillRect/>
                    </a:stretch>
                  </pic:blipFill>
                  <pic:spPr>
                    <a:xfrm>
                      <a:off x="0" y="0"/>
                      <a:ext cx="5040000" cy="4699000"/>
                    </a:xfrm>
                    <a:prstGeom prst="rect">
                      <a:avLst/>
                    </a:prstGeom>
                    <a:ln/>
                  </pic:spPr>
                </pic:pic>
              </a:graphicData>
            </a:graphic>
          </wp:inline>
        </w:drawing>
      </w:r>
    </w:p>
    <w:p w14:paraId="5C97CADB" w14:textId="77777777" w:rsidR="004034C6" w:rsidRPr="00453EB4" w:rsidRDefault="006C59F2">
      <w:pPr>
        <w:spacing w:line="240" w:lineRule="auto"/>
        <w:jc w:val="center"/>
        <w:rPr>
          <w:sz w:val="20"/>
          <w:szCs w:val="20"/>
        </w:rPr>
      </w:pPr>
      <w:r w:rsidRPr="00453EB4">
        <w:rPr>
          <w:sz w:val="20"/>
          <w:szCs w:val="20"/>
        </w:rPr>
        <w:t xml:space="preserve">                             Figura 2. Mapas de Valor Unitario del Alquiler predicho de las ciudades de Córdoba, Villa Carlos Paz y San Francisco.</w:t>
      </w:r>
    </w:p>
    <w:p w14:paraId="464E1723" w14:textId="77777777" w:rsidR="004034C6" w:rsidRDefault="004034C6">
      <w:pPr>
        <w:spacing w:line="240" w:lineRule="auto"/>
        <w:jc w:val="center"/>
        <w:rPr>
          <w:sz w:val="18"/>
          <w:szCs w:val="18"/>
        </w:rPr>
      </w:pPr>
    </w:p>
    <w:p w14:paraId="3CDA82EA" w14:textId="77777777" w:rsidR="004034C6" w:rsidRDefault="006C59F2">
      <w:pPr>
        <w:spacing w:line="240" w:lineRule="auto"/>
        <w:jc w:val="center"/>
        <w:rPr>
          <w:sz w:val="18"/>
          <w:szCs w:val="18"/>
        </w:rPr>
      </w:pPr>
      <w:r>
        <w:rPr>
          <w:noProof/>
          <w:sz w:val="18"/>
          <w:szCs w:val="18"/>
          <w:lang w:val="en-US" w:eastAsia="en-US"/>
        </w:rPr>
        <w:lastRenderedPageBreak/>
        <w:drawing>
          <wp:inline distT="114300" distB="114300" distL="114300" distR="114300" wp14:anchorId="45A07403" wp14:editId="378F83A9">
            <wp:extent cx="5040000" cy="40640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5040000" cy="4064000"/>
                    </a:xfrm>
                    <a:prstGeom prst="rect">
                      <a:avLst/>
                    </a:prstGeom>
                    <a:ln/>
                  </pic:spPr>
                </pic:pic>
              </a:graphicData>
            </a:graphic>
          </wp:inline>
        </w:drawing>
      </w:r>
    </w:p>
    <w:p w14:paraId="25DD25BF" w14:textId="77777777" w:rsidR="004034C6" w:rsidRDefault="004034C6">
      <w:pPr>
        <w:spacing w:line="240" w:lineRule="auto"/>
        <w:jc w:val="both"/>
      </w:pPr>
    </w:p>
    <w:p w14:paraId="2FFDE8F4" w14:textId="77777777" w:rsidR="004034C6" w:rsidRPr="00453EB4" w:rsidRDefault="006C59F2">
      <w:pPr>
        <w:spacing w:line="240" w:lineRule="auto"/>
        <w:jc w:val="center"/>
        <w:rPr>
          <w:sz w:val="20"/>
          <w:szCs w:val="20"/>
        </w:rPr>
      </w:pPr>
      <w:r w:rsidRPr="00453EB4">
        <w:rPr>
          <w:sz w:val="20"/>
          <w:szCs w:val="20"/>
        </w:rPr>
        <w:t xml:space="preserve">     Figura 3. Mapas de Valor Unitario del Alquiler predicho de las ciudades de </w:t>
      </w:r>
    </w:p>
    <w:p w14:paraId="3ADEA6F1" w14:textId="6C8172BC" w:rsidR="004034C6" w:rsidRDefault="006C59F2">
      <w:pPr>
        <w:spacing w:line="240" w:lineRule="auto"/>
        <w:jc w:val="center"/>
        <w:rPr>
          <w:sz w:val="20"/>
          <w:szCs w:val="20"/>
        </w:rPr>
      </w:pPr>
      <w:r w:rsidRPr="00453EB4">
        <w:rPr>
          <w:sz w:val="20"/>
          <w:szCs w:val="20"/>
        </w:rPr>
        <w:t>Río Cuarto y Villa María.</w:t>
      </w:r>
    </w:p>
    <w:p w14:paraId="3D1B9693" w14:textId="77777777" w:rsidR="00453EB4" w:rsidRPr="00453EB4" w:rsidRDefault="00453EB4">
      <w:pPr>
        <w:spacing w:line="240" w:lineRule="auto"/>
        <w:jc w:val="center"/>
        <w:rPr>
          <w:sz w:val="24"/>
          <w:szCs w:val="24"/>
        </w:rPr>
      </w:pPr>
    </w:p>
    <w:p w14:paraId="0AB73E46" w14:textId="77777777" w:rsidR="004034C6" w:rsidRDefault="004034C6">
      <w:pPr>
        <w:spacing w:line="240" w:lineRule="auto"/>
        <w:jc w:val="both"/>
      </w:pPr>
    </w:p>
    <w:p w14:paraId="32DCCB49" w14:textId="1BBC9582" w:rsidR="004034C6" w:rsidRDefault="006C59F2">
      <w:pPr>
        <w:pStyle w:val="Ttulo1"/>
        <w:numPr>
          <w:ilvl w:val="0"/>
          <w:numId w:val="2"/>
        </w:numPr>
        <w:spacing w:before="0" w:after="0" w:line="240" w:lineRule="auto"/>
        <w:jc w:val="both"/>
        <w:rPr>
          <w:b/>
          <w:sz w:val="22"/>
          <w:szCs w:val="22"/>
        </w:rPr>
      </w:pPr>
      <w:bookmarkStart w:id="4" w:name="_ugdw5cwqa0gt" w:colFirst="0" w:colLast="0"/>
      <w:bookmarkEnd w:id="4"/>
      <w:r>
        <w:rPr>
          <w:b/>
          <w:sz w:val="22"/>
          <w:szCs w:val="22"/>
        </w:rPr>
        <w:t>C</w:t>
      </w:r>
      <w:r w:rsidR="00453EB4">
        <w:rPr>
          <w:b/>
          <w:sz w:val="22"/>
          <w:szCs w:val="22"/>
        </w:rPr>
        <w:t>álculo de VM2 a partir de VUA estimado</w:t>
      </w:r>
    </w:p>
    <w:p w14:paraId="5B6F90C6" w14:textId="77777777" w:rsidR="004034C6" w:rsidRPr="00453EB4" w:rsidRDefault="004034C6">
      <w:pPr>
        <w:spacing w:line="240" w:lineRule="auto"/>
        <w:jc w:val="both"/>
        <w:rPr>
          <w:sz w:val="24"/>
          <w:szCs w:val="24"/>
        </w:rPr>
      </w:pPr>
    </w:p>
    <w:p w14:paraId="6211F34A" w14:textId="77777777" w:rsidR="004034C6" w:rsidRDefault="006C59F2">
      <w:pPr>
        <w:spacing w:line="240" w:lineRule="auto"/>
        <w:jc w:val="both"/>
      </w:pPr>
      <w:r>
        <w:t>Recordando que el VUA hace referencia a un valor típico de alquiler (departamento, nuevo, de 50 m2, ubicación en la cuadra medial, sin patio, categoría constructiva estándar y estado de conservación regular) con todos los efectos obtenidos de las características de cada inmueble puede calcularse el valor por metro cuadrado, ya no de un inmueble típico, sino con las características de cada propiedad en particular. Entonces, la pregunta que hay que responder es ¿cómo pasar del VUA al valor mensual del alquiler? Para encontrar el valor por metro cuadrado de alquiler final es necesario aplicar una fórmula que combine los distintos efectos estimados en la regresión espacial para cada una de las características propias de cada inmueble:</w:t>
      </w:r>
    </w:p>
    <w:p w14:paraId="65AF4548" w14:textId="77777777" w:rsidR="004034C6" w:rsidRDefault="006C59F2">
      <w:pPr>
        <w:spacing w:line="240" w:lineRule="auto"/>
        <w:rPr>
          <w:color w:val="333333"/>
          <w:highlight w:val="white"/>
        </w:rPr>
      </w:pPr>
      <w:r>
        <w:rPr>
          <w:noProof/>
          <w:color w:val="333333"/>
          <w:highlight w:val="white"/>
          <w:lang w:val="en-US" w:eastAsia="en-US"/>
        </w:rPr>
        <w:lastRenderedPageBreak/>
        <w:drawing>
          <wp:inline distT="114300" distB="114300" distL="114300" distR="114300" wp14:anchorId="17BACBCE" wp14:editId="74295667">
            <wp:extent cx="5588975" cy="1421106"/>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5588975" cy="1421106"/>
                    </a:xfrm>
                    <a:prstGeom prst="rect">
                      <a:avLst/>
                    </a:prstGeom>
                    <a:ln/>
                  </pic:spPr>
                </pic:pic>
              </a:graphicData>
            </a:graphic>
          </wp:inline>
        </w:drawing>
      </w:r>
    </w:p>
    <w:p w14:paraId="1001CE79" w14:textId="77777777" w:rsidR="004034C6" w:rsidRDefault="006C59F2">
      <w:pPr>
        <w:spacing w:line="240" w:lineRule="auto"/>
        <w:jc w:val="both"/>
      </w:pPr>
      <w:r>
        <w:t>Donde VM2 es el valor por metro cuadrado de alquiler mensual final para cada inmueble.</w:t>
      </w:r>
    </w:p>
    <w:p w14:paraId="305AC057" w14:textId="77777777" w:rsidR="004034C6" w:rsidRDefault="004034C6">
      <w:pPr>
        <w:spacing w:line="240" w:lineRule="auto"/>
        <w:jc w:val="both"/>
      </w:pPr>
    </w:p>
    <w:p w14:paraId="24918EEB" w14:textId="77777777" w:rsidR="004034C6" w:rsidRDefault="006C59F2">
      <w:pPr>
        <w:spacing w:line="240" w:lineRule="auto"/>
        <w:jc w:val="both"/>
      </w:pPr>
      <w:r>
        <w:t>De esta manera, si un inmueble particular tuviera las siguientes características: tipología comercio, superficie edificada 60 metros cuadrados, categoría estándar, antigüedad 29 años, estado de conservación bueno, no se considera el patio por ser un comercio, con un VUA estimado de $440; la fórmula a aplicar sería:</w:t>
      </w:r>
    </w:p>
    <w:p w14:paraId="7F248185" w14:textId="77777777" w:rsidR="004034C6" w:rsidRDefault="006C59F2">
      <w:pPr>
        <w:spacing w:line="240" w:lineRule="auto"/>
        <w:jc w:val="both"/>
      </w:pPr>
      <w:r>
        <w:rPr>
          <w:noProof/>
          <w:lang w:val="en-US" w:eastAsia="en-US"/>
        </w:rPr>
        <w:drawing>
          <wp:inline distT="114300" distB="114300" distL="114300" distR="114300" wp14:anchorId="70E4B2F0" wp14:editId="10B19568">
            <wp:extent cx="5040000" cy="7620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5040000" cy="762000"/>
                    </a:xfrm>
                    <a:prstGeom prst="rect">
                      <a:avLst/>
                    </a:prstGeom>
                    <a:ln/>
                  </pic:spPr>
                </pic:pic>
              </a:graphicData>
            </a:graphic>
          </wp:inline>
        </w:drawing>
      </w:r>
    </w:p>
    <w:p w14:paraId="3689B557" w14:textId="77777777" w:rsidR="004034C6" w:rsidRDefault="006C59F2">
      <w:pPr>
        <w:spacing w:line="240" w:lineRule="auto"/>
        <w:jc w:val="both"/>
      </w:pPr>
      <w:r>
        <w:t>Para obtener el alquiler mensual final total por el comercio se debe multiplicar el valor por metro cuadrado por la superficie edificada ($605 x 60m</w:t>
      </w:r>
      <w:r>
        <w:rPr>
          <w:vertAlign w:val="superscript"/>
        </w:rPr>
        <w:t>2</w:t>
      </w:r>
      <w:r>
        <w:t>), resultando en un valor aproximado de $36.300 por mes.</w:t>
      </w:r>
    </w:p>
    <w:p w14:paraId="5BFEA558" w14:textId="77777777" w:rsidR="004034C6" w:rsidRDefault="004034C6">
      <w:pPr>
        <w:spacing w:line="240" w:lineRule="auto"/>
        <w:jc w:val="both"/>
      </w:pPr>
    </w:p>
    <w:p w14:paraId="5319F988" w14:textId="77777777" w:rsidR="004034C6" w:rsidRDefault="006C59F2">
      <w:pPr>
        <w:spacing w:line="240" w:lineRule="auto"/>
        <w:jc w:val="both"/>
      </w:pPr>
      <w:r>
        <w:t xml:space="preserve">En la tabla 3 se presentan las estadísticas descriptivas de los valores por metro de alquiler mensual para las distintas localidades tratadas.  </w:t>
      </w:r>
    </w:p>
    <w:p w14:paraId="2686CB12" w14:textId="77777777" w:rsidR="004034C6" w:rsidRDefault="004034C6">
      <w:pPr>
        <w:spacing w:line="240" w:lineRule="auto"/>
        <w:jc w:val="both"/>
      </w:pPr>
    </w:p>
    <w:p w14:paraId="1C294443" w14:textId="77777777" w:rsidR="004034C6" w:rsidRPr="00606F4A" w:rsidRDefault="006C59F2">
      <w:pPr>
        <w:spacing w:line="240" w:lineRule="auto"/>
        <w:jc w:val="center"/>
        <w:rPr>
          <w:sz w:val="20"/>
          <w:szCs w:val="20"/>
        </w:rPr>
      </w:pPr>
      <w:r w:rsidRPr="00606F4A">
        <w:rPr>
          <w:sz w:val="20"/>
          <w:szCs w:val="20"/>
        </w:rPr>
        <w:t xml:space="preserve">Tabla 3. Estadísticas descriptivas del valor por m2 </w:t>
      </w:r>
    </w:p>
    <w:tbl>
      <w:tblPr>
        <w:tblStyle w:val="a1"/>
        <w:tblW w:w="78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0"/>
        <w:gridCol w:w="1350"/>
        <w:gridCol w:w="1110"/>
        <w:gridCol w:w="960"/>
        <w:gridCol w:w="870"/>
        <w:gridCol w:w="1035"/>
        <w:gridCol w:w="735"/>
      </w:tblGrid>
      <w:tr w:rsidR="004034C6" w14:paraId="63EFAD56" w14:textId="77777777">
        <w:trPr>
          <w:jc w:val="center"/>
        </w:trPr>
        <w:tc>
          <w:tcPr>
            <w:tcW w:w="1740" w:type="dxa"/>
            <w:tcBorders>
              <w:left w:val="nil"/>
              <w:right w:val="nil"/>
            </w:tcBorders>
            <w:shd w:val="clear" w:color="auto" w:fill="auto"/>
            <w:tcMar>
              <w:top w:w="17" w:type="dxa"/>
              <w:left w:w="17" w:type="dxa"/>
              <w:bottom w:w="17" w:type="dxa"/>
              <w:right w:w="17" w:type="dxa"/>
            </w:tcMar>
            <w:vAlign w:val="center"/>
          </w:tcPr>
          <w:p w14:paraId="762C8631" w14:textId="77777777" w:rsidR="004034C6" w:rsidRDefault="006C59F2">
            <w:pPr>
              <w:widowControl w:val="0"/>
              <w:spacing w:line="240" w:lineRule="auto"/>
              <w:ind w:left="121"/>
              <w:jc w:val="both"/>
              <w:rPr>
                <w:b/>
                <w:sz w:val="18"/>
                <w:szCs w:val="18"/>
              </w:rPr>
            </w:pPr>
            <w:r>
              <w:rPr>
                <w:b/>
                <w:sz w:val="18"/>
                <w:szCs w:val="18"/>
              </w:rPr>
              <w:t xml:space="preserve">Ciudad </w:t>
            </w:r>
          </w:p>
        </w:tc>
        <w:tc>
          <w:tcPr>
            <w:tcW w:w="1350" w:type="dxa"/>
            <w:tcBorders>
              <w:left w:val="nil"/>
              <w:right w:val="nil"/>
            </w:tcBorders>
            <w:shd w:val="clear" w:color="auto" w:fill="auto"/>
            <w:tcMar>
              <w:top w:w="17" w:type="dxa"/>
              <w:left w:w="17" w:type="dxa"/>
              <w:bottom w:w="17" w:type="dxa"/>
              <w:right w:w="17" w:type="dxa"/>
            </w:tcMar>
            <w:vAlign w:val="center"/>
          </w:tcPr>
          <w:p w14:paraId="25250D6C" w14:textId="77777777" w:rsidR="004034C6" w:rsidRDefault="006C59F2">
            <w:pPr>
              <w:widowControl w:val="0"/>
              <w:spacing w:line="240" w:lineRule="auto"/>
              <w:jc w:val="center"/>
              <w:rPr>
                <w:b/>
                <w:sz w:val="18"/>
                <w:szCs w:val="18"/>
              </w:rPr>
            </w:pPr>
            <w:r>
              <w:rPr>
                <w:b/>
                <w:sz w:val="18"/>
                <w:szCs w:val="18"/>
              </w:rPr>
              <w:t xml:space="preserve">Parcelas </w:t>
            </w:r>
          </w:p>
        </w:tc>
        <w:tc>
          <w:tcPr>
            <w:tcW w:w="1110" w:type="dxa"/>
            <w:tcBorders>
              <w:left w:val="nil"/>
              <w:right w:val="nil"/>
            </w:tcBorders>
            <w:shd w:val="clear" w:color="auto" w:fill="auto"/>
            <w:tcMar>
              <w:top w:w="17" w:type="dxa"/>
              <w:left w:w="17" w:type="dxa"/>
              <w:bottom w:w="17" w:type="dxa"/>
              <w:right w:w="17" w:type="dxa"/>
            </w:tcMar>
            <w:vAlign w:val="center"/>
          </w:tcPr>
          <w:p w14:paraId="1980B962" w14:textId="77777777" w:rsidR="004034C6" w:rsidRDefault="006C59F2">
            <w:pPr>
              <w:widowControl w:val="0"/>
              <w:spacing w:line="240" w:lineRule="auto"/>
              <w:jc w:val="center"/>
              <w:rPr>
                <w:b/>
                <w:sz w:val="18"/>
                <w:szCs w:val="18"/>
              </w:rPr>
            </w:pPr>
            <w:r>
              <w:rPr>
                <w:b/>
                <w:sz w:val="18"/>
                <w:szCs w:val="18"/>
              </w:rPr>
              <w:t xml:space="preserve">Mediana </w:t>
            </w:r>
          </w:p>
        </w:tc>
        <w:tc>
          <w:tcPr>
            <w:tcW w:w="960" w:type="dxa"/>
            <w:tcBorders>
              <w:left w:val="nil"/>
              <w:right w:val="nil"/>
            </w:tcBorders>
            <w:shd w:val="clear" w:color="auto" w:fill="auto"/>
            <w:tcMar>
              <w:top w:w="17" w:type="dxa"/>
              <w:left w:w="17" w:type="dxa"/>
              <w:bottom w:w="17" w:type="dxa"/>
              <w:right w:w="17" w:type="dxa"/>
            </w:tcMar>
            <w:vAlign w:val="center"/>
          </w:tcPr>
          <w:p w14:paraId="7A54B393" w14:textId="77777777" w:rsidR="004034C6" w:rsidRDefault="006C59F2">
            <w:pPr>
              <w:widowControl w:val="0"/>
              <w:spacing w:line="240" w:lineRule="auto"/>
              <w:jc w:val="center"/>
              <w:rPr>
                <w:b/>
                <w:sz w:val="18"/>
                <w:szCs w:val="18"/>
              </w:rPr>
            </w:pPr>
            <w:r>
              <w:rPr>
                <w:b/>
                <w:sz w:val="18"/>
                <w:szCs w:val="18"/>
              </w:rPr>
              <w:t xml:space="preserve">Media </w:t>
            </w:r>
          </w:p>
        </w:tc>
        <w:tc>
          <w:tcPr>
            <w:tcW w:w="870" w:type="dxa"/>
            <w:tcBorders>
              <w:left w:val="nil"/>
              <w:right w:val="nil"/>
            </w:tcBorders>
            <w:shd w:val="clear" w:color="auto" w:fill="auto"/>
            <w:tcMar>
              <w:top w:w="17" w:type="dxa"/>
              <w:left w:w="17" w:type="dxa"/>
              <w:bottom w:w="17" w:type="dxa"/>
              <w:right w:w="17" w:type="dxa"/>
            </w:tcMar>
            <w:vAlign w:val="center"/>
          </w:tcPr>
          <w:p w14:paraId="1E79F97A" w14:textId="77777777" w:rsidR="004034C6" w:rsidRDefault="006C59F2">
            <w:pPr>
              <w:widowControl w:val="0"/>
              <w:spacing w:line="240" w:lineRule="auto"/>
              <w:jc w:val="center"/>
              <w:rPr>
                <w:b/>
                <w:sz w:val="18"/>
                <w:szCs w:val="18"/>
              </w:rPr>
            </w:pPr>
            <w:r>
              <w:rPr>
                <w:b/>
                <w:sz w:val="18"/>
                <w:szCs w:val="18"/>
              </w:rPr>
              <w:t xml:space="preserve">Min </w:t>
            </w:r>
          </w:p>
        </w:tc>
        <w:tc>
          <w:tcPr>
            <w:tcW w:w="1035" w:type="dxa"/>
            <w:tcBorders>
              <w:left w:val="nil"/>
              <w:right w:val="nil"/>
            </w:tcBorders>
            <w:shd w:val="clear" w:color="auto" w:fill="auto"/>
            <w:tcMar>
              <w:top w:w="17" w:type="dxa"/>
              <w:left w:w="17" w:type="dxa"/>
              <w:bottom w:w="17" w:type="dxa"/>
              <w:right w:w="17" w:type="dxa"/>
            </w:tcMar>
            <w:vAlign w:val="center"/>
          </w:tcPr>
          <w:p w14:paraId="48648686" w14:textId="77777777" w:rsidR="004034C6" w:rsidRDefault="006C59F2">
            <w:pPr>
              <w:widowControl w:val="0"/>
              <w:spacing w:line="240" w:lineRule="auto"/>
              <w:jc w:val="center"/>
              <w:rPr>
                <w:b/>
                <w:sz w:val="18"/>
                <w:szCs w:val="18"/>
              </w:rPr>
            </w:pPr>
            <w:r>
              <w:rPr>
                <w:b/>
                <w:sz w:val="18"/>
                <w:szCs w:val="18"/>
              </w:rPr>
              <w:t xml:space="preserve">Max </w:t>
            </w:r>
          </w:p>
        </w:tc>
        <w:tc>
          <w:tcPr>
            <w:tcW w:w="735" w:type="dxa"/>
            <w:tcBorders>
              <w:left w:val="nil"/>
              <w:right w:val="nil"/>
            </w:tcBorders>
            <w:shd w:val="clear" w:color="auto" w:fill="auto"/>
            <w:tcMar>
              <w:top w:w="17" w:type="dxa"/>
              <w:left w:w="17" w:type="dxa"/>
              <w:bottom w:w="17" w:type="dxa"/>
              <w:right w:w="17" w:type="dxa"/>
            </w:tcMar>
            <w:vAlign w:val="center"/>
          </w:tcPr>
          <w:p w14:paraId="5389AE47" w14:textId="77777777" w:rsidR="004034C6" w:rsidRDefault="006C59F2">
            <w:pPr>
              <w:widowControl w:val="0"/>
              <w:spacing w:line="240" w:lineRule="auto"/>
              <w:jc w:val="center"/>
              <w:rPr>
                <w:b/>
                <w:sz w:val="18"/>
                <w:szCs w:val="18"/>
              </w:rPr>
            </w:pPr>
            <w:r>
              <w:rPr>
                <w:b/>
                <w:sz w:val="18"/>
                <w:szCs w:val="18"/>
              </w:rPr>
              <w:t>DE</w:t>
            </w:r>
          </w:p>
        </w:tc>
      </w:tr>
      <w:tr w:rsidR="004034C6" w14:paraId="50DEB316" w14:textId="77777777">
        <w:trPr>
          <w:jc w:val="center"/>
        </w:trPr>
        <w:tc>
          <w:tcPr>
            <w:tcW w:w="1740" w:type="dxa"/>
            <w:tcBorders>
              <w:left w:val="nil"/>
              <w:bottom w:val="single" w:sz="8" w:space="0" w:color="666666"/>
              <w:right w:val="nil"/>
            </w:tcBorders>
            <w:shd w:val="clear" w:color="auto" w:fill="auto"/>
            <w:tcMar>
              <w:top w:w="17" w:type="dxa"/>
              <w:left w:w="17" w:type="dxa"/>
              <w:bottom w:w="17" w:type="dxa"/>
              <w:right w:w="17" w:type="dxa"/>
            </w:tcMar>
            <w:vAlign w:val="center"/>
          </w:tcPr>
          <w:p w14:paraId="7CD9AA62" w14:textId="77777777" w:rsidR="004034C6" w:rsidRDefault="006C59F2">
            <w:pPr>
              <w:widowControl w:val="0"/>
              <w:spacing w:line="240" w:lineRule="auto"/>
              <w:ind w:left="121"/>
              <w:jc w:val="both"/>
              <w:rPr>
                <w:sz w:val="18"/>
                <w:szCs w:val="18"/>
              </w:rPr>
            </w:pPr>
            <w:r>
              <w:rPr>
                <w:sz w:val="18"/>
                <w:szCs w:val="18"/>
              </w:rPr>
              <w:t xml:space="preserve">Córdoba </w:t>
            </w:r>
          </w:p>
        </w:tc>
        <w:tc>
          <w:tcPr>
            <w:tcW w:w="1350" w:type="dxa"/>
            <w:tcBorders>
              <w:left w:val="nil"/>
              <w:bottom w:val="single" w:sz="8" w:space="0" w:color="666666"/>
              <w:right w:val="nil"/>
            </w:tcBorders>
            <w:shd w:val="clear" w:color="auto" w:fill="auto"/>
            <w:tcMar>
              <w:top w:w="17" w:type="dxa"/>
              <w:left w:w="17" w:type="dxa"/>
              <w:bottom w:w="17" w:type="dxa"/>
              <w:right w:w="17" w:type="dxa"/>
            </w:tcMar>
            <w:vAlign w:val="center"/>
          </w:tcPr>
          <w:p w14:paraId="456A7241" w14:textId="77777777" w:rsidR="004034C6" w:rsidRDefault="006C59F2">
            <w:pPr>
              <w:widowControl w:val="0"/>
              <w:spacing w:line="240" w:lineRule="auto"/>
              <w:jc w:val="center"/>
              <w:rPr>
                <w:sz w:val="18"/>
                <w:szCs w:val="18"/>
              </w:rPr>
            </w:pPr>
            <w:r>
              <w:rPr>
                <w:sz w:val="18"/>
                <w:szCs w:val="18"/>
              </w:rPr>
              <w:t xml:space="preserve">492.634 </w:t>
            </w:r>
          </w:p>
        </w:tc>
        <w:tc>
          <w:tcPr>
            <w:tcW w:w="1110" w:type="dxa"/>
            <w:tcBorders>
              <w:left w:val="nil"/>
              <w:bottom w:val="single" w:sz="8" w:space="0" w:color="666666"/>
              <w:right w:val="nil"/>
            </w:tcBorders>
            <w:shd w:val="clear" w:color="auto" w:fill="auto"/>
            <w:tcMar>
              <w:top w:w="17" w:type="dxa"/>
              <w:left w:w="17" w:type="dxa"/>
              <w:bottom w:w="17" w:type="dxa"/>
              <w:right w:w="17" w:type="dxa"/>
            </w:tcMar>
            <w:vAlign w:val="center"/>
          </w:tcPr>
          <w:p w14:paraId="1FADFCCF" w14:textId="77777777" w:rsidR="004034C6" w:rsidRDefault="006C59F2">
            <w:pPr>
              <w:widowControl w:val="0"/>
              <w:spacing w:line="240" w:lineRule="auto"/>
              <w:jc w:val="center"/>
              <w:rPr>
                <w:sz w:val="18"/>
                <w:szCs w:val="18"/>
              </w:rPr>
            </w:pPr>
            <w:r>
              <w:rPr>
                <w:sz w:val="18"/>
                <w:szCs w:val="18"/>
              </w:rPr>
              <w:t xml:space="preserve">338 </w:t>
            </w:r>
          </w:p>
        </w:tc>
        <w:tc>
          <w:tcPr>
            <w:tcW w:w="960" w:type="dxa"/>
            <w:tcBorders>
              <w:left w:val="nil"/>
              <w:bottom w:val="single" w:sz="8" w:space="0" w:color="666666"/>
              <w:right w:val="nil"/>
            </w:tcBorders>
            <w:shd w:val="clear" w:color="auto" w:fill="auto"/>
            <w:tcMar>
              <w:top w:w="17" w:type="dxa"/>
              <w:left w:w="17" w:type="dxa"/>
              <w:bottom w:w="17" w:type="dxa"/>
              <w:right w:w="17" w:type="dxa"/>
            </w:tcMar>
            <w:vAlign w:val="center"/>
          </w:tcPr>
          <w:p w14:paraId="70C858D4" w14:textId="77777777" w:rsidR="004034C6" w:rsidRDefault="006C59F2">
            <w:pPr>
              <w:widowControl w:val="0"/>
              <w:spacing w:line="240" w:lineRule="auto"/>
              <w:jc w:val="center"/>
              <w:rPr>
                <w:sz w:val="18"/>
                <w:szCs w:val="18"/>
              </w:rPr>
            </w:pPr>
            <w:r>
              <w:rPr>
                <w:sz w:val="18"/>
                <w:szCs w:val="18"/>
              </w:rPr>
              <w:t xml:space="preserve">350 </w:t>
            </w:r>
          </w:p>
        </w:tc>
        <w:tc>
          <w:tcPr>
            <w:tcW w:w="870" w:type="dxa"/>
            <w:tcBorders>
              <w:left w:val="nil"/>
              <w:bottom w:val="single" w:sz="8" w:space="0" w:color="666666"/>
              <w:right w:val="nil"/>
            </w:tcBorders>
            <w:shd w:val="clear" w:color="auto" w:fill="auto"/>
            <w:tcMar>
              <w:top w:w="17" w:type="dxa"/>
              <w:left w:w="17" w:type="dxa"/>
              <w:bottom w:w="17" w:type="dxa"/>
              <w:right w:w="17" w:type="dxa"/>
            </w:tcMar>
            <w:vAlign w:val="center"/>
          </w:tcPr>
          <w:p w14:paraId="5104AFBB" w14:textId="77777777" w:rsidR="004034C6" w:rsidRDefault="006C59F2">
            <w:pPr>
              <w:widowControl w:val="0"/>
              <w:spacing w:line="240" w:lineRule="auto"/>
              <w:jc w:val="center"/>
              <w:rPr>
                <w:sz w:val="18"/>
                <w:szCs w:val="18"/>
              </w:rPr>
            </w:pPr>
            <w:r>
              <w:rPr>
                <w:sz w:val="18"/>
                <w:szCs w:val="18"/>
              </w:rPr>
              <w:t xml:space="preserve">25 </w:t>
            </w:r>
          </w:p>
        </w:tc>
        <w:tc>
          <w:tcPr>
            <w:tcW w:w="1035" w:type="dxa"/>
            <w:tcBorders>
              <w:left w:val="nil"/>
              <w:bottom w:val="single" w:sz="8" w:space="0" w:color="666666"/>
              <w:right w:val="nil"/>
            </w:tcBorders>
            <w:shd w:val="clear" w:color="auto" w:fill="auto"/>
            <w:tcMar>
              <w:top w:w="17" w:type="dxa"/>
              <w:left w:w="17" w:type="dxa"/>
              <w:bottom w:w="17" w:type="dxa"/>
              <w:right w:w="17" w:type="dxa"/>
            </w:tcMar>
            <w:vAlign w:val="center"/>
          </w:tcPr>
          <w:p w14:paraId="3BD6765F" w14:textId="77777777" w:rsidR="004034C6" w:rsidRDefault="006C59F2">
            <w:pPr>
              <w:widowControl w:val="0"/>
              <w:spacing w:line="240" w:lineRule="auto"/>
              <w:jc w:val="center"/>
              <w:rPr>
                <w:sz w:val="18"/>
                <w:szCs w:val="18"/>
              </w:rPr>
            </w:pPr>
            <w:r>
              <w:rPr>
                <w:sz w:val="18"/>
                <w:szCs w:val="18"/>
              </w:rPr>
              <w:t xml:space="preserve">1.264 </w:t>
            </w:r>
          </w:p>
        </w:tc>
        <w:tc>
          <w:tcPr>
            <w:tcW w:w="735" w:type="dxa"/>
            <w:tcBorders>
              <w:left w:val="nil"/>
              <w:bottom w:val="single" w:sz="8" w:space="0" w:color="666666"/>
              <w:right w:val="nil"/>
            </w:tcBorders>
            <w:shd w:val="clear" w:color="auto" w:fill="auto"/>
            <w:tcMar>
              <w:top w:w="17" w:type="dxa"/>
              <w:left w:w="17" w:type="dxa"/>
              <w:bottom w:w="17" w:type="dxa"/>
              <w:right w:w="17" w:type="dxa"/>
            </w:tcMar>
            <w:vAlign w:val="center"/>
          </w:tcPr>
          <w:p w14:paraId="2D87E165" w14:textId="77777777" w:rsidR="004034C6" w:rsidRDefault="006C59F2">
            <w:pPr>
              <w:widowControl w:val="0"/>
              <w:spacing w:line="240" w:lineRule="auto"/>
              <w:jc w:val="center"/>
              <w:rPr>
                <w:sz w:val="18"/>
                <w:szCs w:val="18"/>
              </w:rPr>
            </w:pPr>
            <w:r>
              <w:rPr>
                <w:sz w:val="18"/>
                <w:szCs w:val="18"/>
              </w:rPr>
              <w:t>108</w:t>
            </w:r>
          </w:p>
        </w:tc>
      </w:tr>
      <w:tr w:rsidR="004034C6" w14:paraId="7FBB007D" w14:textId="77777777">
        <w:trPr>
          <w:jc w:val="center"/>
        </w:trPr>
        <w:tc>
          <w:tcPr>
            <w:tcW w:w="174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0A893334" w14:textId="77777777" w:rsidR="004034C6" w:rsidRDefault="006C59F2">
            <w:pPr>
              <w:widowControl w:val="0"/>
              <w:spacing w:line="240" w:lineRule="auto"/>
              <w:ind w:left="126"/>
              <w:jc w:val="both"/>
              <w:rPr>
                <w:sz w:val="18"/>
                <w:szCs w:val="18"/>
              </w:rPr>
            </w:pPr>
            <w:r>
              <w:rPr>
                <w:sz w:val="18"/>
                <w:szCs w:val="18"/>
              </w:rPr>
              <w:t xml:space="preserve">Río Cuarto </w:t>
            </w:r>
          </w:p>
        </w:tc>
        <w:tc>
          <w:tcPr>
            <w:tcW w:w="135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4C7E0E0F" w14:textId="77777777" w:rsidR="004034C6" w:rsidRDefault="006C59F2">
            <w:pPr>
              <w:widowControl w:val="0"/>
              <w:spacing w:line="240" w:lineRule="auto"/>
              <w:jc w:val="center"/>
              <w:rPr>
                <w:sz w:val="18"/>
                <w:szCs w:val="18"/>
              </w:rPr>
            </w:pPr>
            <w:r>
              <w:rPr>
                <w:sz w:val="18"/>
                <w:szCs w:val="18"/>
              </w:rPr>
              <w:t xml:space="preserve">76.090 </w:t>
            </w:r>
          </w:p>
        </w:tc>
        <w:tc>
          <w:tcPr>
            <w:tcW w:w="111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1AEE29D2" w14:textId="77777777" w:rsidR="004034C6" w:rsidRDefault="006C59F2">
            <w:pPr>
              <w:widowControl w:val="0"/>
              <w:spacing w:line="240" w:lineRule="auto"/>
              <w:jc w:val="center"/>
              <w:rPr>
                <w:sz w:val="18"/>
                <w:szCs w:val="18"/>
              </w:rPr>
            </w:pPr>
            <w:r>
              <w:rPr>
                <w:sz w:val="18"/>
                <w:szCs w:val="18"/>
              </w:rPr>
              <w:t xml:space="preserve">248 </w:t>
            </w:r>
          </w:p>
        </w:tc>
        <w:tc>
          <w:tcPr>
            <w:tcW w:w="96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3DC724FF" w14:textId="77777777" w:rsidR="004034C6" w:rsidRDefault="006C59F2">
            <w:pPr>
              <w:widowControl w:val="0"/>
              <w:spacing w:line="240" w:lineRule="auto"/>
              <w:jc w:val="center"/>
              <w:rPr>
                <w:sz w:val="18"/>
                <w:szCs w:val="18"/>
              </w:rPr>
            </w:pPr>
            <w:r>
              <w:rPr>
                <w:sz w:val="18"/>
                <w:szCs w:val="18"/>
              </w:rPr>
              <w:t xml:space="preserve">258 </w:t>
            </w:r>
          </w:p>
        </w:tc>
        <w:tc>
          <w:tcPr>
            <w:tcW w:w="87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1BE31DF6" w14:textId="77777777" w:rsidR="004034C6" w:rsidRDefault="006C59F2">
            <w:pPr>
              <w:widowControl w:val="0"/>
              <w:spacing w:line="240" w:lineRule="auto"/>
              <w:jc w:val="center"/>
              <w:rPr>
                <w:sz w:val="18"/>
                <w:szCs w:val="18"/>
              </w:rPr>
            </w:pPr>
            <w:r>
              <w:rPr>
                <w:sz w:val="18"/>
                <w:szCs w:val="18"/>
              </w:rPr>
              <w:t xml:space="preserve">27 </w:t>
            </w:r>
          </w:p>
        </w:tc>
        <w:tc>
          <w:tcPr>
            <w:tcW w:w="103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7301193E" w14:textId="77777777" w:rsidR="004034C6" w:rsidRDefault="006C59F2">
            <w:pPr>
              <w:widowControl w:val="0"/>
              <w:spacing w:line="240" w:lineRule="auto"/>
              <w:jc w:val="center"/>
              <w:rPr>
                <w:sz w:val="18"/>
                <w:szCs w:val="18"/>
              </w:rPr>
            </w:pPr>
            <w:r>
              <w:rPr>
                <w:sz w:val="18"/>
                <w:szCs w:val="18"/>
              </w:rPr>
              <w:t xml:space="preserve">833 </w:t>
            </w:r>
          </w:p>
        </w:tc>
        <w:tc>
          <w:tcPr>
            <w:tcW w:w="73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0C32462E" w14:textId="77777777" w:rsidR="004034C6" w:rsidRDefault="006C59F2">
            <w:pPr>
              <w:widowControl w:val="0"/>
              <w:spacing w:line="240" w:lineRule="auto"/>
              <w:jc w:val="center"/>
              <w:rPr>
                <w:sz w:val="18"/>
                <w:szCs w:val="18"/>
              </w:rPr>
            </w:pPr>
            <w:r>
              <w:rPr>
                <w:sz w:val="18"/>
                <w:szCs w:val="18"/>
              </w:rPr>
              <w:t>75</w:t>
            </w:r>
          </w:p>
        </w:tc>
      </w:tr>
      <w:tr w:rsidR="004034C6" w14:paraId="41277049" w14:textId="77777777">
        <w:trPr>
          <w:jc w:val="center"/>
        </w:trPr>
        <w:tc>
          <w:tcPr>
            <w:tcW w:w="174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440EBAF0" w14:textId="77777777" w:rsidR="004034C6" w:rsidRDefault="006C59F2">
            <w:pPr>
              <w:widowControl w:val="0"/>
              <w:spacing w:line="240" w:lineRule="auto"/>
              <w:ind w:left="120"/>
              <w:jc w:val="both"/>
              <w:rPr>
                <w:sz w:val="18"/>
                <w:szCs w:val="18"/>
              </w:rPr>
            </w:pPr>
            <w:r>
              <w:rPr>
                <w:sz w:val="18"/>
                <w:szCs w:val="18"/>
              </w:rPr>
              <w:t xml:space="preserve">San Francisco </w:t>
            </w:r>
          </w:p>
        </w:tc>
        <w:tc>
          <w:tcPr>
            <w:tcW w:w="135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04266906" w14:textId="77777777" w:rsidR="004034C6" w:rsidRDefault="006C59F2">
            <w:pPr>
              <w:widowControl w:val="0"/>
              <w:spacing w:line="240" w:lineRule="auto"/>
              <w:jc w:val="center"/>
              <w:rPr>
                <w:sz w:val="18"/>
                <w:szCs w:val="18"/>
              </w:rPr>
            </w:pPr>
            <w:r>
              <w:rPr>
                <w:sz w:val="18"/>
                <w:szCs w:val="18"/>
              </w:rPr>
              <w:t xml:space="preserve">28.416 </w:t>
            </w:r>
          </w:p>
        </w:tc>
        <w:tc>
          <w:tcPr>
            <w:tcW w:w="111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5097CADE" w14:textId="77777777" w:rsidR="004034C6" w:rsidRDefault="006C59F2">
            <w:pPr>
              <w:widowControl w:val="0"/>
              <w:spacing w:line="240" w:lineRule="auto"/>
              <w:jc w:val="center"/>
              <w:rPr>
                <w:sz w:val="18"/>
                <w:szCs w:val="18"/>
              </w:rPr>
            </w:pPr>
            <w:r>
              <w:rPr>
                <w:sz w:val="18"/>
                <w:szCs w:val="18"/>
              </w:rPr>
              <w:t xml:space="preserve">256 </w:t>
            </w:r>
          </w:p>
        </w:tc>
        <w:tc>
          <w:tcPr>
            <w:tcW w:w="96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6A4E8F9F" w14:textId="77777777" w:rsidR="004034C6" w:rsidRDefault="006C59F2">
            <w:pPr>
              <w:widowControl w:val="0"/>
              <w:spacing w:line="240" w:lineRule="auto"/>
              <w:jc w:val="center"/>
              <w:rPr>
                <w:sz w:val="18"/>
                <w:szCs w:val="18"/>
              </w:rPr>
            </w:pPr>
            <w:r>
              <w:rPr>
                <w:sz w:val="18"/>
                <w:szCs w:val="18"/>
              </w:rPr>
              <w:t xml:space="preserve">266 </w:t>
            </w:r>
          </w:p>
        </w:tc>
        <w:tc>
          <w:tcPr>
            <w:tcW w:w="87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62E8B2F5" w14:textId="77777777" w:rsidR="004034C6" w:rsidRDefault="006C59F2">
            <w:pPr>
              <w:widowControl w:val="0"/>
              <w:spacing w:line="240" w:lineRule="auto"/>
              <w:jc w:val="center"/>
              <w:rPr>
                <w:sz w:val="18"/>
                <w:szCs w:val="18"/>
              </w:rPr>
            </w:pPr>
            <w:r>
              <w:rPr>
                <w:sz w:val="18"/>
                <w:szCs w:val="18"/>
              </w:rPr>
              <w:t xml:space="preserve">86 </w:t>
            </w:r>
          </w:p>
        </w:tc>
        <w:tc>
          <w:tcPr>
            <w:tcW w:w="103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142645EF" w14:textId="77777777" w:rsidR="004034C6" w:rsidRDefault="006C59F2">
            <w:pPr>
              <w:widowControl w:val="0"/>
              <w:spacing w:line="240" w:lineRule="auto"/>
              <w:jc w:val="center"/>
              <w:rPr>
                <w:sz w:val="18"/>
                <w:szCs w:val="18"/>
              </w:rPr>
            </w:pPr>
            <w:r>
              <w:rPr>
                <w:sz w:val="18"/>
                <w:szCs w:val="18"/>
              </w:rPr>
              <w:t xml:space="preserve">632 </w:t>
            </w:r>
          </w:p>
        </w:tc>
        <w:tc>
          <w:tcPr>
            <w:tcW w:w="73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1B55AF01" w14:textId="77777777" w:rsidR="004034C6" w:rsidRDefault="006C59F2">
            <w:pPr>
              <w:widowControl w:val="0"/>
              <w:spacing w:line="240" w:lineRule="auto"/>
              <w:jc w:val="center"/>
              <w:rPr>
                <w:sz w:val="18"/>
                <w:szCs w:val="18"/>
              </w:rPr>
            </w:pPr>
            <w:r>
              <w:rPr>
                <w:sz w:val="18"/>
                <w:szCs w:val="18"/>
              </w:rPr>
              <w:t>71</w:t>
            </w:r>
          </w:p>
        </w:tc>
      </w:tr>
      <w:tr w:rsidR="004034C6" w14:paraId="6C1BEA56" w14:textId="77777777">
        <w:trPr>
          <w:jc w:val="center"/>
        </w:trPr>
        <w:tc>
          <w:tcPr>
            <w:tcW w:w="174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210B7FD5" w14:textId="77777777" w:rsidR="004034C6" w:rsidRDefault="006C59F2">
            <w:pPr>
              <w:widowControl w:val="0"/>
              <w:spacing w:line="240" w:lineRule="auto"/>
              <w:ind w:left="113"/>
              <w:jc w:val="both"/>
              <w:rPr>
                <w:sz w:val="18"/>
                <w:szCs w:val="18"/>
              </w:rPr>
            </w:pPr>
            <w:r>
              <w:rPr>
                <w:sz w:val="18"/>
                <w:szCs w:val="18"/>
              </w:rPr>
              <w:t xml:space="preserve">Villa Carlos Paz </w:t>
            </w:r>
          </w:p>
        </w:tc>
        <w:tc>
          <w:tcPr>
            <w:tcW w:w="135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5133C3A7" w14:textId="77777777" w:rsidR="004034C6" w:rsidRDefault="006C59F2">
            <w:pPr>
              <w:widowControl w:val="0"/>
              <w:spacing w:line="240" w:lineRule="auto"/>
              <w:jc w:val="center"/>
              <w:rPr>
                <w:sz w:val="18"/>
                <w:szCs w:val="18"/>
              </w:rPr>
            </w:pPr>
            <w:r>
              <w:rPr>
                <w:sz w:val="18"/>
                <w:szCs w:val="18"/>
              </w:rPr>
              <w:t xml:space="preserve">34.784 </w:t>
            </w:r>
          </w:p>
        </w:tc>
        <w:tc>
          <w:tcPr>
            <w:tcW w:w="111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49E5BD20" w14:textId="77777777" w:rsidR="004034C6" w:rsidRDefault="006C59F2">
            <w:pPr>
              <w:widowControl w:val="0"/>
              <w:spacing w:line="240" w:lineRule="auto"/>
              <w:jc w:val="center"/>
              <w:rPr>
                <w:sz w:val="18"/>
                <w:szCs w:val="18"/>
              </w:rPr>
            </w:pPr>
            <w:r>
              <w:rPr>
                <w:sz w:val="18"/>
                <w:szCs w:val="18"/>
              </w:rPr>
              <w:t xml:space="preserve">409 </w:t>
            </w:r>
          </w:p>
        </w:tc>
        <w:tc>
          <w:tcPr>
            <w:tcW w:w="96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0D955E34" w14:textId="77777777" w:rsidR="004034C6" w:rsidRDefault="006C59F2">
            <w:pPr>
              <w:widowControl w:val="0"/>
              <w:spacing w:line="240" w:lineRule="auto"/>
              <w:jc w:val="center"/>
              <w:rPr>
                <w:sz w:val="18"/>
                <w:szCs w:val="18"/>
              </w:rPr>
            </w:pPr>
            <w:r>
              <w:rPr>
                <w:sz w:val="18"/>
                <w:szCs w:val="18"/>
              </w:rPr>
              <w:t xml:space="preserve">419 </w:t>
            </w:r>
          </w:p>
        </w:tc>
        <w:tc>
          <w:tcPr>
            <w:tcW w:w="870"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364BA1BF" w14:textId="77777777" w:rsidR="004034C6" w:rsidRDefault="006C59F2">
            <w:pPr>
              <w:widowControl w:val="0"/>
              <w:spacing w:line="240" w:lineRule="auto"/>
              <w:jc w:val="center"/>
              <w:rPr>
                <w:sz w:val="18"/>
                <w:szCs w:val="18"/>
              </w:rPr>
            </w:pPr>
            <w:r>
              <w:rPr>
                <w:sz w:val="18"/>
                <w:szCs w:val="18"/>
              </w:rPr>
              <w:t xml:space="preserve">87 </w:t>
            </w:r>
          </w:p>
        </w:tc>
        <w:tc>
          <w:tcPr>
            <w:tcW w:w="103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0E88E05A" w14:textId="77777777" w:rsidR="004034C6" w:rsidRDefault="006C59F2">
            <w:pPr>
              <w:widowControl w:val="0"/>
              <w:spacing w:line="240" w:lineRule="auto"/>
              <w:jc w:val="center"/>
              <w:rPr>
                <w:sz w:val="18"/>
                <w:szCs w:val="18"/>
              </w:rPr>
            </w:pPr>
            <w:r>
              <w:rPr>
                <w:sz w:val="18"/>
                <w:szCs w:val="18"/>
              </w:rPr>
              <w:t xml:space="preserve">1.026 </w:t>
            </w:r>
          </w:p>
        </w:tc>
        <w:tc>
          <w:tcPr>
            <w:tcW w:w="735" w:type="dxa"/>
            <w:tcBorders>
              <w:top w:val="single" w:sz="8" w:space="0" w:color="666666"/>
              <w:left w:val="nil"/>
              <w:bottom w:val="single" w:sz="8" w:space="0" w:color="666666"/>
              <w:right w:val="nil"/>
            </w:tcBorders>
            <w:shd w:val="clear" w:color="auto" w:fill="auto"/>
            <w:tcMar>
              <w:top w:w="17" w:type="dxa"/>
              <w:left w:w="17" w:type="dxa"/>
              <w:bottom w:w="17" w:type="dxa"/>
              <w:right w:w="17" w:type="dxa"/>
            </w:tcMar>
            <w:vAlign w:val="center"/>
          </w:tcPr>
          <w:p w14:paraId="34138682" w14:textId="77777777" w:rsidR="004034C6" w:rsidRDefault="006C59F2">
            <w:pPr>
              <w:widowControl w:val="0"/>
              <w:spacing w:line="240" w:lineRule="auto"/>
              <w:jc w:val="center"/>
              <w:rPr>
                <w:sz w:val="18"/>
                <w:szCs w:val="18"/>
              </w:rPr>
            </w:pPr>
            <w:r>
              <w:rPr>
                <w:sz w:val="18"/>
                <w:szCs w:val="18"/>
              </w:rPr>
              <w:t>121</w:t>
            </w:r>
          </w:p>
        </w:tc>
      </w:tr>
      <w:tr w:rsidR="004034C6" w14:paraId="4667D0FB" w14:textId="77777777">
        <w:trPr>
          <w:jc w:val="center"/>
        </w:trPr>
        <w:tc>
          <w:tcPr>
            <w:tcW w:w="1740" w:type="dxa"/>
            <w:tcBorders>
              <w:top w:val="single" w:sz="8" w:space="0" w:color="666666"/>
              <w:left w:val="nil"/>
              <w:right w:val="nil"/>
            </w:tcBorders>
            <w:shd w:val="clear" w:color="auto" w:fill="auto"/>
            <w:tcMar>
              <w:top w:w="17" w:type="dxa"/>
              <w:left w:w="17" w:type="dxa"/>
              <w:bottom w:w="17" w:type="dxa"/>
              <w:right w:w="17" w:type="dxa"/>
            </w:tcMar>
            <w:vAlign w:val="center"/>
          </w:tcPr>
          <w:p w14:paraId="05F9DF87" w14:textId="251E6C01" w:rsidR="004034C6" w:rsidRDefault="006C59F2">
            <w:pPr>
              <w:widowControl w:val="0"/>
              <w:spacing w:line="240" w:lineRule="auto"/>
              <w:ind w:left="113"/>
              <w:jc w:val="both"/>
              <w:rPr>
                <w:sz w:val="18"/>
                <w:szCs w:val="18"/>
              </w:rPr>
            </w:pPr>
            <w:r>
              <w:rPr>
                <w:sz w:val="18"/>
                <w:szCs w:val="18"/>
              </w:rPr>
              <w:t xml:space="preserve">Villa </w:t>
            </w:r>
            <w:r w:rsidR="000466C0">
              <w:rPr>
                <w:sz w:val="18"/>
                <w:szCs w:val="18"/>
              </w:rPr>
              <w:t>María</w:t>
            </w:r>
            <w:r>
              <w:rPr>
                <w:sz w:val="18"/>
                <w:szCs w:val="18"/>
              </w:rPr>
              <w:t xml:space="preserve"> </w:t>
            </w:r>
          </w:p>
        </w:tc>
        <w:tc>
          <w:tcPr>
            <w:tcW w:w="1350" w:type="dxa"/>
            <w:tcBorders>
              <w:top w:val="single" w:sz="8" w:space="0" w:color="666666"/>
              <w:left w:val="nil"/>
              <w:right w:val="nil"/>
            </w:tcBorders>
            <w:shd w:val="clear" w:color="auto" w:fill="auto"/>
            <w:tcMar>
              <w:top w:w="17" w:type="dxa"/>
              <w:left w:w="17" w:type="dxa"/>
              <w:bottom w:w="17" w:type="dxa"/>
              <w:right w:w="17" w:type="dxa"/>
            </w:tcMar>
            <w:vAlign w:val="center"/>
          </w:tcPr>
          <w:p w14:paraId="5E01024D" w14:textId="77777777" w:rsidR="004034C6" w:rsidRDefault="006C59F2">
            <w:pPr>
              <w:widowControl w:val="0"/>
              <w:spacing w:line="240" w:lineRule="auto"/>
              <w:jc w:val="center"/>
              <w:rPr>
                <w:sz w:val="18"/>
                <w:szCs w:val="18"/>
              </w:rPr>
            </w:pPr>
            <w:r>
              <w:rPr>
                <w:sz w:val="18"/>
                <w:szCs w:val="18"/>
              </w:rPr>
              <w:t xml:space="preserve">44.718 </w:t>
            </w:r>
          </w:p>
        </w:tc>
        <w:tc>
          <w:tcPr>
            <w:tcW w:w="1110" w:type="dxa"/>
            <w:tcBorders>
              <w:top w:val="single" w:sz="8" w:space="0" w:color="666666"/>
              <w:left w:val="nil"/>
              <w:right w:val="nil"/>
            </w:tcBorders>
            <w:shd w:val="clear" w:color="auto" w:fill="auto"/>
            <w:tcMar>
              <w:top w:w="17" w:type="dxa"/>
              <w:left w:w="17" w:type="dxa"/>
              <w:bottom w:w="17" w:type="dxa"/>
              <w:right w:w="17" w:type="dxa"/>
            </w:tcMar>
            <w:vAlign w:val="center"/>
          </w:tcPr>
          <w:p w14:paraId="67C23004" w14:textId="77777777" w:rsidR="004034C6" w:rsidRDefault="006C59F2">
            <w:pPr>
              <w:widowControl w:val="0"/>
              <w:spacing w:line="240" w:lineRule="auto"/>
              <w:jc w:val="center"/>
              <w:rPr>
                <w:sz w:val="18"/>
                <w:szCs w:val="18"/>
              </w:rPr>
            </w:pPr>
            <w:r>
              <w:rPr>
                <w:sz w:val="18"/>
                <w:szCs w:val="18"/>
              </w:rPr>
              <w:t xml:space="preserve">194 </w:t>
            </w:r>
          </w:p>
        </w:tc>
        <w:tc>
          <w:tcPr>
            <w:tcW w:w="960" w:type="dxa"/>
            <w:tcBorders>
              <w:top w:val="single" w:sz="8" w:space="0" w:color="666666"/>
              <w:left w:val="nil"/>
              <w:right w:val="nil"/>
            </w:tcBorders>
            <w:shd w:val="clear" w:color="auto" w:fill="auto"/>
            <w:tcMar>
              <w:top w:w="17" w:type="dxa"/>
              <w:left w:w="17" w:type="dxa"/>
              <w:bottom w:w="17" w:type="dxa"/>
              <w:right w:w="17" w:type="dxa"/>
            </w:tcMar>
            <w:vAlign w:val="center"/>
          </w:tcPr>
          <w:p w14:paraId="1FB906CF" w14:textId="77777777" w:rsidR="004034C6" w:rsidRDefault="006C59F2">
            <w:pPr>
              <w:widowControl w:val="0"/>
              <w:spacing w:line="240" w:lineRule="auto"/>
              <w:jc w:val="center"/>
              <w:rPr>
                <w:sz w:val="18"/>
                <w:szCs w:val="18"/>
              </w:rPr>
            </w:pPr>
            <w:r>
              <w:rPr>
                <w:sz w:val="18"/>
                <w:szCs w:val="18"/>
              </w:rPr>
              <w:t xml:space="preserve">204 </w:t>
            </w:r>
          </w:p>
        </w:tc>
        <w:tc>
          <w:tcPr>
            <w:tcW w:w="870" w:type="dxa"/>
            <w:tcBorders>
              <w:top w:val="single" w:sz="8" w:space="0" w:color="666666"/>
              <w:left w:val="nil"/>
              <w:right w:val="nil"/>
            </w:tcBorders>
            <w:shd w:val="clear" w:color="auto" w:fill="auto"/>
            <w:tcMar>
              <w:top w:w="17" w:type="dxa"/>
              <w:left w:w="17" w:type="dxa"/>
              <w:bottom w:w="17" w:type="dxa"/>
              <w:right w:w="17" w:type="dxa"/>
            </w:tcMar>
            <w:vAlign w:val="center"/>
          </w:tcPr>
          <w:p w14:paraId="1847089F" w14:textId="77777777" w:rsidR="004034C6" w:rsidRDefault="006C59F2">
            <w:pPr>
              <w:widowControl w:val="0"/>
              <w:spacing w:line="240" w:lineRule="auto"/>
              <w:jc w:val="center"/>
              <w:rPr>
                <w:sz w:val="18"/>
                <w:szCs w:val="18"/>
              </w:rPr>
            </w:pPr>
            <w:r>
              <w:rPr>
                <w:sz w:val="18"/>
                <w:szCs w:val="18"/>
              </w:rPr>
              <w:t xml:space="preserve">33 </w:t>
            </w:r>
          </w:p>
        </w:tc>
        <w:tc>
          <w:tcPr>
            <w:tcW w:w="1035" w:type="dxa"/>
            <w:tcBorders>
              <w:top w:val="single" w:sz="8" w:space="0" w:color="666666"/>
              <w:left w:val="nil"/>
              <w:right w:val="nil"/>
            </w:tcBorders>
            <w:shd w:val="clear" w:color="auto" w:fill="auto"/>
            <w:tcMar>
              <w:top w:w="17" w:type="dxa"/>
              <w:left w:w="17" w:type="dxa"/>
              <w:bottom w:w="17" w:type="dxa"/>
              <w:right w:w="17" w:type="dxa"/>
            </w:tcMar>
            <w:vAlign w:val="center"/>
          </w:tcPr>
          <w:p w14:paraId="782271EF" w14:textId="77777777" w:rsidR="004034C6" w:rsidRDefault="006C59F2">
            <w:pPr>
              <w:widowControl w:val="0"/>
              <w:spacing w:line="240" w:lineRule="auto"/>
              <w:jc w:val="center"/>
              <w:rPr>
                <w:sz w:val="18"/>
                <w:szCs w:val="18"/>
              </w:rPr>
            </w:pPr>
            <w:r>
              <w:rPr>
                <w:sz w:val="18"/>
                <w:szCs w:val="18"/>
              </w:rPr>
              <w:t xml:space="preserve">589 </w:t>
            </w:r>
          </w:p>
        </w:tc>
        <w:tc>
          <w:tcPr>
            <w:tcW w:w="735" w:type="dxa"/>
            <w:tcBorders>
              <w:top w:val="single" w:sz="8" w:space="0" w:color="666666"/>
              <w:left w:val="nil"/>
              <w:right w:val="nil"/>
            </w:tcBorders>
            <w:shd w:val="clear" w:color="auto" w:fill="auto"/>
            <w:tcMar>
              <w:top w:w="17" w:type="dxa"/>
              <w:left w:w="17" w:type="dxa"/>
              <w:bottom w:w="17" w:type="dxa"/>
              <w:right w:w="17" w:type="dxa"/>
            </w:tcMar>
            <w:vAlign w:val="center"/>
          </w:tcPr>
          <w:p w14:paraId="5C79C42D" w14:textId="77777777" w:rsidR="004034C6" w:rsidRDefault="006C59F2">
            <w:pPr>
              <w:widowControl w:val="0"/>
              <w:spacing w:line="240" w:lineRule="auto"/>
              <w:jc w:val="center"/>
              <w:rPr>
                <w:sz w:val="18"/>
                <w:szCs w:val="18"/>
              </w:rPr>
            </w:pPr>
            <w:r>
              <w:rPr>
                <w:sz w:val="18"/>
                <w:szCs w:val="18"/>
              </w:rPr>
              <w:t>61</w:t>
            </w:r>
          </w:p>
        </w:tc>
      </w:tr>
      <w:tr w:rsidR="004034C6" w14:paraId="2D8421AD" w14:textId="77777777">
        <w:trPr>
          <w:jc w:val="center"/>
        </w:trPr>
        <w:tc>
          <w:tcPr>
            <w:tcW w:w="1740" w:type="dxa"/>
            <w:tcBorders>
              <w:left w:val="nil"/>
              <w:right w:val="nil"/>
            </w:tcBorders>
            <w:shd w:val="clear" w:color="auto" w:fill="auto"/>
            <w:tcMar>
              <w:top w:w="17" w:type="dxa"/>
              <w:left w:w="17" w:type="dxa"/>
              <w:bottom w:w="17" w:type="dxa"/>
              <w:right w:w="17" w:type="dxa"/>
            </w:tcMar>
            <w:vAlign w:val="center"/>
          </w:tcPr>
          <w:p w14:paraId="17C916D6" w14:textId="77777777" w:rsidR="004034C6" w:rsidRDefault="006C59F2">
            <w:pPr>
              <w:widowControl w:val="0"/>
              <w:spacing w:line="240" w:lineRule="auto"/>
              <w:ind w:left="116"/>
              <w:jc w:val="both"/>
              <w:rPr>
                <w:b/>
                <w:sz w:val="18"/>
                <w:szCs w:val="18"/>
              </w:rPr>
            </w:pPr>
            <w:r>
              <w:rPr>
                <w:b/>
                <w:sz w:val="18"/>
                <w:szCs w:val="18"/>
              </w:rPr>
              <w:t xml:space="preserve">TOTAL </w:t>
            </w:r>
          </w:p>
        </w:tc>
        <w:tc>
          <w:tcPr>
            <w:tcW w:w="1350" w:type="dxa"/>
            <w:tcBorders>
              <w:left w:val="nil"/>
              <w:right w:val="nil"/>
            </w:tcBorders>
            <w:shd w:val="clear" w:color="auto" w:fill="auto"/>
            <w:tcMar>
              <w:top w:w="17" w:type="dxa"/>
              <w:left w:w="17" w:type="dxa"/>
              <w:bottom w:w="17" w:type="dxa"/>
              <w:right w:w="17" w:type="dxa"/>
            </w:tcMar>
            <w:vAlign w:val="center"/>
          </w:tcPr>
          <w:p w14:paraId="187DC791" w14:textId="77777777" w:rsidR="004034C6" w:rsidRDefault="006C59F2">
            <w:pPr>
              <w:widowControl w:val="0"/>
              <w:spacing w:line="240" w:lineRule="auto"/>
              <w:jc w:val="center"/>
              <w:rPr>
                <w:b/>
                <w:sz w:val="18"/>
                <w:szCs w:val="18"/>
              </w:rPr>
            </w:pPr>
            <w:r>
              <w:rPr>
                <w:b/>
                <w:sz w:val="18"/>
                <w:szCs w:val="18"/>
              </w:rPr>
              <w:t xml:space="preserve">676.642 </w:t>
            </w:r>
          </w:p>
        </w:tc>
        <w:tc>
          <w:tcPr>
            <w:tcW w:w="1110" w:type="dxa"/>
            <w:tcBorders>
              <w:left w:val="nil"/>
              <w:right w:val="nil"/>
            </w:tcBorders>
            <w:shd w:val="clear" w:color="auto" w:fill="auto"/>
            <w:tcMar>
              <w:top w:w="17" w:type="dxa"/>
              <w:left w:w="17" w:type="dxa"/>
              <w:bottom w:w="17" w:type="dxa"/>
              <w:right w:w="17" w:type="dxa"/>
            </w:tcMar>
            <w:vAlign w:val="center"/>
          </w:tcPr>
          <w:p w14:paraId="2C5DC584" w14:textId="77777777" w:rsidR="004034C6" w:rsidRDefault="006C59F2">
            <w:pPr>
              <w:widowControl w:val="0"/>
              <w:spacing w:line="240" w:lineRule="auto"/>
              <w:jc w:val="center"/>
              <w:rPr>
                <w:b/>
                <w:sz w:val="18"/>
                <w:szCs w:val="18"/>
              </w:rPr>
            </w:pPr>
            <w:r>
              <w:rPr>
                <w:b/>
                <w:sz w:val="18"/>
                <w:szCs w:val="18"/>
              </w:rPr>
              <w:t xml:space="preserve">315 </w:t>
            </w:r>
          </w:p>
        </w:tc>
        <w:tc>
          <w:tcPr>
            <w:tcW w:w="960" w:type="dxa"/>
            <w:tcBorders>
              <w:left w:val="nil"/>
              <w:right w:val="nil"/>
            </w:tcBorders>
            <w:shd w:val="clear" w:color="auto" w:fill="auto"/>
            <w:tcMar>
              <w:top w:w="17" w:type="dxa"/>
              <w:left w:w="17" w:type="dxa"/>
              <w:bottom w:w="17" w:type="dxa"/>
              <w:right w:w="17" w:type="dxa"/>
            </w:tcMar>
            <w:vAlign w:val="center"/>
          </w:tcPr>
          <w:p w14:paraId="246F2981" w14:textId="77777777" w:rsidR="004034C6" w:rsidRDefault="006C59F2">
            <w:pPr>
              <w:widowControl w:val="0"/>
              <w:spacing w:line="240" w:lineRule="auto"/>
              <w:jc w:val="center"/>
              <w:rPr>
                <w:b/>
                <w:sz w:val="18"/>
                <w:szCs w:val="18"/>
              </w:rPr>
            </w:pPr>
            <w:r>
              <w:rPr>
                <w:b/>
                <w:sz w:val="18"/>
                <w:szCs w:val="18"/>
              </w:rPr>
              <w:t xml:space="preserve">330 </w:t>
            </w:r>
          </w:p>
        </w:tc>
        <w:tc>
          <w:tcPr>
            <w:tcW w:w="870" w:type="dxa"/>
            <w:tcBorders>
              <w:left w:val="nil"/>
              <w:right w:val="nil"/>
            </w:tcBorders>
            <w:shd w:val="clear" w:color="auto" w:fill="auto"/>
            <w:tcMar>
              <w:top w:w="17" w:type="dxa"/>
              <w:left w:w="17" w:type="dxa"/>
              <w:bottom w:w="17" w:type="dxa"/>
              <w:right w:w="17" w:type="dxa"/>
            </w:tcMar>
            <w:vAlign w:val="center"/>
          </w:tcPr>
          <w:p w14:paraId="5797F774" w14:textId="77777777" w:rsidR="004034C6" w:rsidRDefault="006C59F2">
            <w:pPr>
              <w:widowControl w:val="0"/>
              <w:spacing w:line="240" w:lineRule="auto"/>
              <w:jc w:val="center"/>
              <w:rPr>
                <w:b/>
                <w:sz w:val="18"/>
                <w:szCs w:val="18"/>
              </w:rPr>
            </w:pPr>
            <w:r>
              <w:rPr>
                <w:b/>
                <w:sz w:val="18"/>
                <w:szCs w:val="18"/>
              </w:rPr>
              <w:t xml:space="preserve">25 </w:t>
            </w:r>
          </w:p>
        </w:tc>
        <w:tc>
          <w:tcPr>
            <w:tcW w:w="1035" w:type="dxa"/>
            <w:tcBorders>
              <w:left w:val="nil"/>
              <w:right w:val="nil"/>
            </w:tcBorders>
            <w:shd w:val="clear" w:color="auto" w:fill="auto"/>
            <w:tcMar>
              <w:top w:w="17" w:type="dxa"/>
              <w:left w:w="17" w:type="dxa"/>
              <w:bottom w:w="17" w:type="dxa"/>
              <w:right w:w="17" w:type="dxa"/>
            </w:tcMar>
            <w:vAlign w:val="center"/>
          </w:tcPr>
          <w:p w14:paraId="7BFD02D1" w14:textId="77777777" w:rsidR="004034C6" w:rsidRDefault="006C59F2">
            <w:pPr>
              <w:widowControl w:val="0"/>
              <w:spacing w:line="240" w:lineRule="auto"/>
              <w:jc w:val="center"/>
              <w:rPr>
                <w:b/>
                <w:sz w:val="18"/>
                <w:szCs w:val="18"/>
              </w:rPr>
            </w:pPr>
            <w:r>
              <w:rPr>
                <w:b/>
                <w:sz w:val="18"/>
                <w:szCs w:val="18"/>
              </w:rPr>
              <w:t xml:space="preserve">1.264 </w:t>
            </w:r>
          </w:p>
        </w:tc>
        <w:tc>
          <w:tcPr>
            <w:tcW w:w="735" w:type="dxa"/>
            <w:tcBorders>
              <w:left w:val="nil"/>
              <w:right w:val="nil"/>
            </w:tcBorders>
            <w:shd w:val="clear" w:color="auto" w:fill="auto"/>
            <w:tcMar>
              <w:top w:w="17" w:type="dxa"/>
              <w:left w:w="17" w:type="dxa"/>
              <w:bottom w:w="17" w:type="dxa"/>
              <w:right w:w="17" w:type="dxa"/>
            </w:tcMar>
            <w:vAlign w:val="center"/>
          </w:tcPr>
          <w:p w14:paraId="3461F86C" w14:textId="77777777" w:rsidR="004034C6" w:rsidRDefault="006C59F2">
            <w:pPr>
              <w:widowControl w:val="0"/>
              <w:spacing w:line="240" w:lineRule="auto"/>
              <w:jc w:val="center"/>
              <w:rPr>
                <w:b/>
                <w:sz w:val="18"/>
                <w:szCs w:val="18"/>
              </w:rPr>
            </w:pPr>
            <w:r>
              <w:rPr>
                <w:b/>
                <w:sz w:val="18"/>
                <w:szCs w:val="18"/>
              </w:rPr>
              <w:t>114</w:t>
            </w:r>
          </w:p>
        </w:tc>
      </w:tr>
    </w:tbl>
    <w:p w14:paraId="410CA68A" w14:textId="77777777" w:rsidR="004034C6" w:rsidRPr="00606F4A" w:rsidRDefault="006C59F2">
      <w:pPr>
        <w:spacing w:line="240" w:lineRule="auto"/>
        <w:jc w:val="center"/>
        <w:rPr>
          <w:i/>
          <w:sz w:val="20"/>
          <w:szCs w:val="20"/>
        </w:rPr>
      </w:pPr>
      <w:r w:rsidRPr="00606F4A">
        <w:rPr>
          <w:i/>
          <w:sz w:val="20"/>
          <w:szCs w:val="20"/>
        </w:rPr>
        <w:t>Fuente: Elaboración Propia</w:t>
      </w:r>
    </w:p>
    <w:p w14:paraId="1D5DDAEB" w14:textId="77777777" w:rsidR="004034C6" w:rsidRDefault="004034C6">
      <w:pPr>
        <w:pStyle w:val="Ttulo1"/>
        <w:spacing w:before="0" w:after="0" w:line="240" w:lineRule="auto"/>
        <w:jc w:val="both"/>
        <w:rPr>
          <w:sz w:val="22"/>
          <w:szCs w:val="22"/>
        </w:rPr>
      </w:pPr>
      <w:bookmarkStart w:id="5" w:name="_mig0j4izshmp" w:colFirst="0" w:colLast="0"/>
      <w:bookmarkEnd w:id="5"/>
    </w:p>
    <w:p w14:paraId="34A43A98" w14:textId="6D184EAB" w:rsidR="004034C6" w:rsidRDefault="006C59F2">
      <w:pPr>
        <w:pStyle w:val="Ttulo1"/>
        <w:numPr>
          <w:ilvl w:val="0"/>
          <w:numId w:val="2"/>
        </w:numPr>
        <w:spacing w:before="0" w:after="0" w:line="240" w:lineRule="auto"/>
        <w:jc w:val="both"/>
        <w:rPr>
          <w:b/>
        </w:rPr>
      </w:pPr>
      <w:bookmarkStart w:id="6" w:name="_54v5a6pha4dl" w:colFirst="0" w:colLast="0"/>
      <w:bookmarkEnd w:id="6"/>
      <w:r>
        <w:rPr>
          <w:b/>
          <w:sz w:val="22"/>
          <w:szCs w:val="22"/>
        </w:rPr>
        <w:t>C</w:t>
      </w:r>
      <w:r w:rsidR="00606F4A">
        <w:rPr>
          <w:b/>
          <w:sz w:val="22"/>
          <w:szCs w:val="22"/>
        </w:rPr>
        <w:t>onclusiones</w:t>
      </w:r>
    </w:p>
    <w:p w14:paraId="1B68AF2A" w14:textId="77777777" w:rsidR="004034C6" w:rsidRPr="00606F4A" w:rsidRDefault="004034C6">
      <w:pPr>
        <w:spacing w:line="240" w:lineRule="auto"/>
        <w:jc w:val="both"/>
        <w:rPr>
          <w:sz w:val="24"/>
          <w:szCs w:val="24"/>
        </w:rPr>
      </w:pPr>
    </w:p>
    <w:p w14:paraId="1A149ED9" w14:textId="77777777" w:rsidR="004034C6" w:rsidRDefault="006C59F2">
      <w:pPr>
        <w:spacing w:line="240" w:lineRule="auto"/>
        <w:jc w:val="both"/>
      </w:pPr>
      <w:r>
        <w:t xml:space="preserve">El objetivo del trabajo fue exponer la metodología utilizada para estimar el valor del alquiler en cinco importantes ciudades de la Provincia de Córdoba: la ciudad de Córdoba, Río Cuarto, Villa María, Villa Carlos Paz y San Francisco. La base metodológica radica en expresar todos los valores de alquiler en términos de un </w:t>
      </w:r>
      <w:r>
        <w:lastRenderedPageBreak/>
        <w:t xml:space="preserve">valor típico (VUA): un departamento de 50 m2, nuevo, de ubicación en la cuadra medial, categoría constructiva estándar, sin patio y estado de conservación regular. Para esto se utilizó un modelo de regresión espacial, con el objeto de capturar los efectos de las distintas variables intrínsecas a cada inmueble sobre el valor por metro cuadrado de alquiler. </w:t>
      </w:r>
    </w:p>
    <w:p w14:paraId="241EB457" w14:textId="77777777" w:rsidR="004034C6" w:rsidRDefault="004034C6">
      <w:pPr>
        <w:spacing w:line="240" w:lineRule="auto"/>
        <w:jc w:val="both"/>
      </w:pPr>
    </w:p>
    <w:p w14:paraId="48F92859" w14:textId="77777777" w:rsidR="004034C6" w:rsidRDefault="006C59F2">
      <w:pPr>
        <w:spacing w:line="240" w:lineRule="auto"/>
        <w:jc w:val="both"/>
      </w:pPr>
      <w:r>
        <w:t xml:space="preserve">A partir de la construcción del VUA se entrenan diferentes algoritmos de aprendizaje computacional (machine </w:t>
      </w:r>
      <w:proofErr w:type="spellStart"/>
      <w:r>
        <w:t>learning</w:t>
      </w:r>
      <w:proofErr w:type="spellEnd"/>
      <w:r>
        <w:t xml:space="preserve">) para predecir el valor de los alquileres en las parcelas de las distintas ciudades que se corresponden con el objetivo de estudio. La estimación realizada, dada las características de la muestra utilizada, no consideró en la predicción las grandes superficies </w:t>
      </w:r>
      <w:r>
        <w:rPr>
          <w:highlight w:val="white"/>
        </w:rPr>
        <w:t>industriales o comerciales, espacios verdes, hospitales, entre otras</w:t>
      </w:r>
      <w:r>
        <w:t xml:space="preserve">. Los resultados fueron satisfactorios, con un error promedio en valor absoluto de un </w:t>
      </w:r>
      <w:r>
        <w:rPr>
          <w:highlight w:val="white"/>
        </w:rPr>
        <w:t>15,2%</w:t>
      </w:r>
      <w:r>
        <w:t xml:space="preserve"> para todas las ciudades, con un mínimo en </w:t>
      </w:r>
      <w:r>
        <w:rPr>
          <w:highlight w:val="white"/>
        </w:rPr>
        <w:t xml:space="preserve">Villa María </w:t>
      </w:r>
      <w:r>
        <w:t>(</w:t>
      </w:r>
      <w:r>
        <w:rPr>
          <w:highlight w:val="white"/>
        </w:rPr>
        <w:t>11,5%</w:t>
      </w:r>
      <w:r>
        <w:t xml:space="preserve">) y un máximo de </w:t>
      </w:r>
      <w:r>
        <w:rPr>
          <w:highlight w:val="white"/>
        </w:rPr>
        <w:t>16,2</w:t>
      </w:r>
      <w:r>
        <w:t>% en San Francisco.</w:t>
      </w:r>
    </w:p>
    <w:p w14:paraId="198DC7C2" w14:textId="77777777" w:rsidR="004034C6" w:rsidRDefault="004034C6">
      <w:pPr>
        <w:spacing w:line="240" w:lineRule="auto"/>
        <w:jc w:val="both"/>
      </w:pPr>
    </w:p>
    <w:p w14:paraId="6F3526C1" w14:textId="77777777" w:rsidR="004034C6" w:rsidRDefault="006C59F2">
      <w:pPr>
        <w:spacing w:line="240" w:lineRule="auto"/>
        <w:jc w:val="both"/>
      </w:pPr>
      <w:r>
        <w:t xml:space="preserve">El trabajo resulta de interés por diversos motivos. Primero, es un estudio pionero en Argentina y la región. Segundo, conocer los valores de alquiler es una herramienta de utilidad para diversos agentes de la sociedad: para el estado, para empresas desarrollistas, para inmobiliarias, para particulares, ciudadanos, etc. También se compone como un activo para la toma de decisiones públicas en cuanto a tributación y, particularmente, como control de la evasión o </w:t>
      </w:r>
      <w:proofErr w:type="spellStart"/>
      <w:r>
        <w:t>subdeclaración</w:t>
      </w:r>
      <w:proofErr w:type="spellEnd"/>
      <w:r>
        <w:t xml:space="preserve"> de contratos. Tercero, es un trabajo que utiliza información disponible en la IDE provincial para generar más información para la misma IDE. Esto deja ver un proceso de retroalimentación continua de la IDE y crecimiento propio, denotando la calidad de recursos humanos que pueden conformarse cuando se incentiva a este tipo de programas en un ámbito público.</w:t>
      </w:r>
    </w:p>
    <w:p w14:paraId="651CACAD" w14:textId="77777777" w:rsidR="004034C6" w:rsidRPr="00606F4A" w:rsidRDefault="004034C6">
      <w:pPr>
        <w:spacing w:line="240" w:lineRule="auto"/>
        <w:jc w:val="both"/>
        <w:rPr>
          <w:sz w:val="24"/>
          <w:szCs w:val="24"/>
        </w:rPr>
      </w:pPr>
    </w:p>
    <w:p w14:paraId="18195EB6" w14:textId="4AF5EA16" w:rsidR="004034C6" w:rsidRDefault="006C59F2">
      <w:pPr>
        <w:pStyle w:val="Ttulo1"/>
        <w:numPr>
          <w:ilvl w:val="0"/>
          <w:numId w:val="2"/>
        </w:numPr>
        <w:spacing w:before="0" w:after="0" w:line="240" w:lineRule="auto"/>
        <w:jc w:val="both"/>
        <w:rPr>
          <w:b/>
        </w:rPr>
      </w:pPr>
      <w:bookmarkStart w:id="7" w:name="_zacgr12jc6pm" w:colFirst="0" w:colLast="0"/>
      <w:bookmarkEnd w:id="7"/>
      <w:r>
        <w:rPr>
          <w:b/>
          <w:sz w:val="22"/>
          <w:szCs w:val="22"/>
        </w:rPr>
        <w:t>A</w:t>
      </w:r>
      <w:r w:rsidR="00606F4A">
        <w:rPr>
          <w:b/>
          <w:sz w:val="22"/>
          <w:szCs w:val="22"/>
        </w:rPr>
        <w:t>gradecimientos</w:t>
      </w:r>
    </w:p>
    <w:p w14:paraId="20533B3E" w14:textId="77777777" w:rsidR="004034C6" w:rsidRPr="00606F4A" w:rsidRDefault="004034C6">
      <w:pPr>
        <w:pStyle w:val="Ttulo1"/>
        <w:spacing w:before="0" w:after="0" w:line="240" w:lineRule="auto"/>
        <w:jc w:val="both"/>
        <w:rPr>
          <w:sz w:val="24"/>
          <w:szCs w:val="24"/>
        </w:rPr>
      </w:pPr>
      <w:bookmarkStart w:id="8" w:name="_nzoktn3fctfv" w:colFirst="0" w:colLast="0"/>
      <w:bookmarkEnd w:id="8"/>
    </w:p>
    <w:p w14:paraId="34148C2C" w14:textId="77777777" w:rsidR="004034C6" w:rsidRDefault="006C59F2">
      <w:pPr>
        <w:spacing w:line="240" w:lineRule="auto"/>
        <w:jc w:val="both"/>
      </w:pPr>
      <w:r>
        <w:t>Dadas las características transversales del presente artículo, los autores desean destacar el trabajo de todas las personas que hacen IDECOR día a día, y que en buena medida han contribuido a la generación de la información aquí utilizada. También destacan el apoyo brindado por el Ministerio de Finanzas de la Provincia de Córdoba, particularmente en la persona del Secretario de Ingresos Públicos.</w:t>
      </w:r>
    </w:p>
    <w:p w14:paraId="135234E0" w14:textId="77777777" w:rsidR="004034C6" w:rsidRPr="00606F4A" w:rsidRDefault="004034C6">
      <w:pPr>
        <w:spacing w:line="240" w:lineRule="auto"/>
        <w:jc w:val="both"/>
        <w:rPr>
          <w:sz w:val="24"/>
          <w:szCs w:val="24"/>
        </w:rPr>
      </w:pPr>
    </w:p>
    <w:p w14:paraId="53C33464" w14:textId="69CA6D83" w:rsidR="004034C6" w:rsidRDefault="006C59F2">
      <w:pPr>
        <w:pStyle w:val="Ttulo1"/>
        <w:numPr>
          <w:ilvl w:val="0"/>
          <w:numId w:val="2"/>
        </w:numPr>
        <w:spacing w:before="0" w:after="0" w:line="240" w:lineRule="auto"/>
        <w:jc w:val="both"/>
        <w:rPr>
          <w:b/>
        </w:rPr>
      </w:pPr>
      <w:bookmarkStart w:id="9" w:name="_1vf9aj71918c" w:colFirst="0" w:colLast="0"/>
      <w:bookmarkEnd w:id="9"/>
      <w:r>
        <w:rPr>
          <w:b/>
          <w:sz w:val="22"/>
          <w:szCs w:val="22"/>
        </w:rPr>
        <w:t>R</w:t>
      </w:r>
      <w:r w:rsidR="00606F4A">
        <w:rPr>
          <w:b/>
          <w:sz w:val="22"/>
          <w:szCs w:val="22"/>
        </w:rPr>
        <w:t>eferencias</w:t>
      </w:r>
    </w:p>
    <w:p w14:paraId="02BDB0F4" w14:textId="77777777" w:rsidR="004034C6" w:rsidRPr="00606F4A" w:rsidRDefault="004034C6">
      <w:pPr>
        <w:spacing w:line="240" w:lineRule="auto"/>
        <w:jc w:val="both"/>
        <w:rPr>
          <w:sz w:val="24"/>
          <w:szCs w:val="24"/>
        </w:rPr>
      </w:pPr>
      <w:bookmarkStart w:id="10" w:name="_GoBack"/>
      <w:bookmarkEnd w:id="10"/>
    </w:p>
    <w:p w14:paraId="423A4533" w14:textId="77777777" w:rsidR="004034C6" w:rsidRDefault="006C59F2">
      <w:pPr>
        <w:widowControl w:val="0"/>
        <w:spacing w:line="240" w:lineRule="auto"/>
        <w:jc w:val="both"/>
      </w:pPr>
      <w:proofErr w:type="spellStart"/>
      <w:r w:rsidRPr="00453EB4">
        <w:rPr>
          <w:color w:val="222222"/>
          <w:highlight w:val="white"/>
          <w:lang w:val="en-US"/>
        </w:rPr>
        <w:t>Anselin</w:t>
      </w:r>
      <w:proofErr w:type="spellEnd"/>
      <w:r w:rsidRPr="00453EB4">
        <w:rPr>
          <w:color w:val="222222"/>
          <w:highlight w:val="white"/>
          <w:lang w:val="en-US"/>
        </w:rPr>
        <w:t xml:space="preserve">, L., </w:t>
      </w:r>
      <w:proofErr w:type="spellStart"/>
      <w:r w:rsidRPr="00453EB4">
        <w:rPr>
          <w:color w:val="222222"/>
          <w:highlight w:val="white"/>
          <w:lang w:val="en-US"/>
        </w:rPr>
        <w:t>Bera</w:t>
      </w:r>
      <w:proofErr w:type="spellEnd"/>
      <w:r w:rsidRPr="00453EB4">
        <w:rPr>
          <w:color w:val="222222"/>
          <w:highlight w:val="white"/>
          <w:lang w:val="en-US"/>
        </w:rPr>
        <w:t xml:space="preserve">, A. K., </w:t>
      </w:r>
      <w:proofErr w:type="spellStart"/>
      <w:r w:rsidRPr="00453EB4">
        <w:rPr>
          <w:color w:val="222222"/>
          <w:highlight w:val="white"/>
          <w:lang w:val="en-US"/>
        </w:rPr>
        <w:t>Florax</w:t>
      </w:r>
      <w:proofErr w:type="spellEnd"/>
      <w:r w:rsidRPr="00453EB4">
        <w:rPr>
          <w:color w:val="222222"/>
          <w:highlight w:val="white"/>
          <w:lang w:val="en-US"/>
        </w:rPr>
        <w:t xml:space="preserve">, R., &amp; Yoon, M. J. (1996). Simple diagnostic tests for spatial dependence. </w:t>
      </w:r>
      <w:r>
        <w:rPr>
          <w:i/>
        </w:rPr>
        <w:t xml:space="preserve">Regional </w:t>
      </w:r>
      <w:proofErr w:type="spellStart"/>
      <w:r>
        <w:rPr>
          <w:i/>
        </w:rPr>
        <w:t>science</w:t>
      </w:r>
      <w:proofErr w:type="spellEnd"/>
      <w:r>
        <w:rPr>
          <w:i/>
        </w:rPr>
        <w:t xml:space="preserve"> and </w:t>
      </w:r>
      <w:proofErr w:type="spellStart"/>
      <w:r>
        <w:rPr>
          <w:i/>
        </w:rPr>
        <w:t>urban</w:t>
      </w:r>
      <w:proofErr w:type="spellEnd"/>
      <w:r>
        <w:rPr>
          <w:i/>
        </w:rPr>
        <w:t xml:space="preserve"> </w:t>
      </w:r>
      <w:proofErr w:type="spellStart"/>
      <w:r>
        <w:rPr>
          <w:i/>
        </w:rPr>
        <w:t>economics</w:t>
      </w:r>
      <w:proofErr w:type="spellEnd"/>
      <w:r>
        <w:t xml:space="preserve">, </w:t>
      </w:r>
      <w:r>
        <w:rPr>
          <w:i/>
        </w:rPr>
        <w:t>26</w:t>
      </w:r>
      <w:r>
        <w:t>(1), 77-104.</w:t>
      </w:r>
    </w:p>
    <w:p w14:paraId="507D9716" w14:textId="77777777" w:rsidR="004034C6" w:rsidRDefault="004034C6">
      <w:pPr>
        <w:widowControl w:val="0"/>
        <w:spacing w:line="240" w:lineRule="auto"/>
        <w:jc w:val="both"/>
        <w:rPr>
          <w:color w:val="222222"/>
          <w:highlight w:val="white"/>
        </w:rPr>
      </w:pPr>
    </w:p>
    <w:p w14:paraId="7D1A0480" w14:textId="77777777" w:rsidR="004034C6" w:rsidRPr="00453EB4" w:rsidRDefault="006C59F2">
      <w:pPr>
        <w:widowControl w:val="0"/>
        <w:spacing w:line="240" w:lineRule="auto"/>
        <w:jc w:val="both"/>
        <w:rPr>
          <w:lang w:val="en-US"/>
        </w:rPr>
      </w:pPr>
      <w:proofErr w:type="spellStart"/>
      <w:r w:rsidRPr="00453EB4">
        <w:rPr>
          <w:color w:val="222222"/>
          <w:highlight w:val="white"/>
          <w:lang w:val="en-US"/>
        </w:rPr>
        <w:t>Burridge</w:t>
      </w:r>
      <w:proofErr w:type="spellEnd"/>
      <w:r w:rsidRPr="00453EB4">
        <w:rPr>
          <w:color w:val="222222"/>
          <w:highlight w:val="white"/>
          <w:lang w:val="en-US"/>
        </w:rPr>
        <w:t xml:space="preserve">, P. (1981). Testing for a common factor in a spatial </w:t>
      </w:r>
      <w:proofErr w:type="spellStart"/>
      <w:r w:rsidRPr="00453EB4">
        <w:rPr>
          <w:color w:val="222222"/>
          <w:highlight w:val="white"/>
          <w:lang w:val="en-US"/>
        </w:rPr>
        <w:t>autoregression</w:t>
      </w:r>
      <w:proofErr w:type="spellEnd"/>
      <w:r w:rsidRPr="00453EB4">
        <w:rPr>
          <w:color w:val="222222"/>
          <w:highlight w:val="white"/>
          <w:lang w:val="en-US"/>
        </w:rPr>
        <w:t xml:space="preserve"> model. </w:t>
      </w:r>
      <w:proofErr w:type="gramStart"/>
      <w:r w:rsidRPr="00453EB4">
        <w:rPr>
          <w:i/>
          <w:lang w:val="en-US"/>
        </w:rPr>
        <w:t>Environment  and</w:t>
      </w:r>
      <w:proofErr w:type="gramEnd"/>
      <w:r w:rsidRPr="00453EB4">
        <w:rPr>
          <w:i/>
          <w:lang w:val="en-US"/>
        </w:rPr>
        <w:t xml:space="preserve"> Planning A</w:t>
      </w:r>
      <w:r w:rsidRPr="00453EB4">
        <w:rPr>
          <w:lang w:val="en-US"/>
        </w:rPr>
        <w:t xml:space="preserve">, </w:t>
      </w:r>
      <w:r w:rsidRPr="00453EB4">
        <w:rPr>
          <w:i/>
          <w:lang w:val="en-US"/>
        </w:rPr>
        <w:t>13</w:t>
      </w:r>
      <w:r w:rsidRPr="00453EB4">
        <w:rPr>
          <w:lang w:val="en-US"/>
        </w:rPr>
        <w:t>(7), 795-800.</w:t>
      </w:r>
    </w:p>
    <w:p w14:paraId="6A2B96B6" w14:textId="77777777" w:rsidR="004034C6" w:rsidRPr="00453EB4" w:rsidRDefault="004034C6">
      <w:pPr>
        <w:widowControl w:val="0"/>
        <w:spacing w:line="240" w:lineRule="auto"/>
        <w:jc w:val="both"/>
        <w:rPr>
          <w:color w:val="222222"/>
          <w:highlight w:val="white"/>
          <w:lang w:val="en-US"/>
        </w:rPr>
      </w:pPr>
    </w:p>
    <w:p w14:paraId="2541B9D5" w14:textId="77777777" w:rsidR="004034C6" w:rsidRPr="00453EB4" w:rsidRDefault="006C59F2">
      <w:pPr>
        <w:widowControl w:val="0"/>
        <w:spacing w:line="240" w:lineRule="auto"/>
        <w:jc w:val="both"/>
        <w:rPr>
          <w:lang w:val="en-US"/>
        </w:rPr>
      </w:pPr>
      <w:proofErr w:type="spellStart"/>
      <w:r w:rsidRPr="00453EB4">
        <w:rPr>
          <w:color w:val="222222"/>
          <w:highlight w:val="white"/>
          <w:lang w:val="en-US"/>
        </w:rPr>
        <w:t>Corrado</w:t>
      </w:r>
      <w:proofErr w:type="spellEnd"/>
      <w:r w:rsidRPr="00453EB4">
        <w:rPr>
          <w:color w:val="222222"/>
          <w:highlight w:val="white"/>
          <w:lang w:val="en-US"/>
        </w:rPr>
        <w:t xml:space="preserve">, L., &amp; </w:t>
      </w:r>
      <w:proofErr w:type="spellStart"/>
      <w:r w:rsidRPr="00453EB4">
        <w:rPr>
          <w:color w:val="222222"/>
          <w:highlight w:val="white"/>
          <w:lang w:val="en-US"/>
        </w:rPr>
        <w:t>Fingleton</w:t>
      </w:r>
      <w:proofErr w:type="spellEnd"/>
      <w:r w:rsidRPr="00453EB4">
        <w:rPr>
          <w:color w:val="222222"/>
          <w:highlight w:val="white"/>
          <w:lang w:val="en-US"/>
        </w:rPr>
        <w:t xml:space="preserve">, B. (2012). Where is the economics in spatial </w:t>
      </w:r>
      <w:proofErr w:type="gramStart"/>
      <w:r w:rsidRPr="00453EB4">
        <w:rPr>
          <w:color w:val="222222"/>
          <w:highlight w:val="white"/>
          <w:lang w:val="en-US"/>
        </w:rPr>
        <w:t>econometrics?.</w:t>
      </w:r>
      <w:proofErr w:type="gramEnd"/>
      <w:r w:rsidRPr="00453EB4">
        <w:rPr>
          <w:color w:val="222222"/>
          <w:highlight w:val="white"/>
          <w:lang w:val="en-US"/>
        </w:rPr>
        <w:t xml:space="preserve"> </w:t>
      </w:r>
      <w:r w:rsidRPr="00453EB4">
        <w:rPr>
          <w:i/>
          <w:lang w:val="en-US"/>
        </w:rPr>
        <w:t>Journal of Regional Science</w:t>
      </w:r>
      <w:r w:rsidRPr="00453EB4">
        <w:rPr>
          <w:lang w:val="en-US"/>
        </w:rPr>
        <w:t xml:space="preserve">, </w:t>
      </w:r>
      <w:r w:rsidRPr="00453EB4">
        <w:rPr>
          <w:i/>
          <w:lang w:val="en-US"/>
        </w:rPr>
        <w:t>52</w:t>
      </w:r>
      <w:r w:rsidRPr="00453EB4">
        <w:rPr>
          <w:lang w:val="en-US"/>
        </w:rPr>
        <w:t>(2), 210-239.</w:t>
      </w:r>
    </w:p>
    <w:p w14:paraId="6582E191" w14:textId="77777777" w:rsidR="004034C6" w:rsidRPr="00453EB4" w:rsidRDefault="004034C6">
      <w:pPr>
        <w:widowControl w:val="0"/>
        <w:spacing w:line="240" w:lineRule="auto"/>
        <w:jc w:val="both"/>
        <w:rPr>
          <w:highlight w:val="white"/>
          <w:lang w:val="en-US"/>
        </w:rPr>
      </w:pPr>
    </w:p>
    <w:p w14:paraId="69145290" w14:textId="77777777" w:rsidR="004034C6" w:rsidRPr="00453EB4" w:rsidRDefault="006C59F2">
      <w:pPr>
        <w:widowControl w:val="0"/>
        <w:spacing w:line="240" w:lineRule="auto"/>
        <w:jc w:val="both"/>
        <w:rPr>
          <w:highlight w:val="white"/>
          <w:lang w:val="en-US"/>
        </w:rPr>
      </w:pPr>
      <w:r w:rsidRPr="00453EB4">
        <w:rPr>
          <w:highlight w:val="white"/>
          <w:lang w:val="en-US"/>
        </w:rPr>
        <w:t xml:space="preserve">Cortes, C., &amp; </w:t>
      </w:r>
      <w:proofErr w:type="spellStart"/>
      <w:r w:rsidRPr="00453EB4">
        <w:rPr>
          <w:highlight w:val="white"/>
          <w:lang w:val="en-US"/>
        </w:rPr>
        <w:t>Vapnik</w:t>
      </w:r>
      <w:proofErr w:type="spellEnd"/>
      <w:r w:rsidRPr="00453EB4">
        <w:rPr>
          <w:highlight w:val="white"/>
          <w:lang w:val="en-US"/>
        </w:rPr>
        <w:t>, V. (1995). Support-vector networks. Machine Learning, 20 (3), 273–297. https://doi.org/10.1023/A:1022627411411</w:t>
      </w:r>
    </w:p>
    <w:p w14:paraId="4BB044D0" w14:textId="77777777" w:rsidR="004034C6" w:rsidRPr="00453EB4" w:rsidRDefault="004034C6">
      <w:pPr>
        <w:widowControl w:val="0"/>
        <w:spacing w:line="240" w:lineRule="auto"/>
        <w:jc w:val="both"/>
        <w:rPr>
          <w:color w:val="222222"/>
          <w:highlight w:val="white"/>
          <w:lang w:val="en-US"/>
        </w:rPr>
      </w:pPr>
    </w:p>
    <w:p w14:paraId="444CCBFC" w14:textId="77777777" w:rsidR="004034C6" w:rsidRPr="00453EB4" w:rsidRDefault="006C59F2">
      <w:pPr>
        <w:widowControl w:val="0"/>
        <w:spacing w:line="240" w:lineRule="auto"/>
        <w:jc w:val="both"/>
        <w:rPr>
          <w:lang w:val="en-US"/>
        </w:rPr>
      </w:pPr>
      <w:r w:rsidRPr="00453EB4">
        <w:rPr>
          <w:color w:val="222222"/>
          <w:highlight w:val="white"/>
          <w:lang w:val="en-US"/>
        </w:rPr>
        <w:t xml:space="preserve">Friedman, J. H. (2001). Greedy function approximation: a gradient boosting machine. </w:t>
      </w:r>
      <w:r w:rsidRPr="00453EB4">
        <w:rPr>
          <w:i/>
          <w:lang w:val="en-US"/>
        </w:rPr>
        <w:t>Annals of statistics</w:t>
      </w:r>
      <w:r w:rsidRPr="00453EB4">
        <w:rPr>
          <w:lang w:val="en-US"/>
        </w:rPr>
        <w:t>, 1189-1232.</w:t>
      </w:r>
    </w:p>
    <w:p w14:paraId="513A5604" w14:textId="77777777" w:rsidR="004034C6" w:rsidRPr="00453EB4" w:rsidRDefault="004034C6">
      <w:pPr>
        <w:widowControl w:val="0"/>
        <w:spacing w:line="240" w:lineRule="auto"/>
        <w:jc w:val="both"/>
        <w:rPr>
          <w:color w:val="222222"/>
          <w:highlight w:val="white"/>
          <w:lang w:val="en-US"/>
        </w:rPr>
      </w:pPr>
    </w:p>
    <w:p w14:paraId="4602BEA1" w14:textId="77777777" w:rsidR="004034C6" w:rsidRPr="00453EB4" w:rsidRDefault="006C59F2">
      <w:pPr>
        <w:widowControl w:val="0"/>
        <w:spacing w:line="240" w:lineRule="auto"/>
        <w:jc w:val="both"/>
        <w:rPr>
          <w:lang w:val="en-US"/>
        </w:rPr>
      </w:pPr>
      <w:proofErr w:type="spellStart"/>
      <w:r w:rsidRPr="00453EB4">
        <w:rPr>
          <w:color w:val="222222"/>
          <w:highlight w:val="white"/>
          <w:lang w:val="en-US"/>
        </w:rPr>
        <w:t>Golgher</w:t>
      </w:r>
      <w:proofErr w:type="spellEnd"/>
      <w:r w:rsidRPr="00453EB4">
        <w:rPr>
          <w:color w:val="222222"/>
          <w:highlight w:val="white"/>
          <w:lang w:val="en-US"/>
        </w:rPr>
        <w:t xml:space="preserve">, A. B., &amp; Voss, P. R. (2016). How to interpret the coefficients of spatial models: Spillovers, direct and indirect </w:t>
      </w:r>
      <w:proofErr w:type="gramStart"/>
      <w:r w:rsidRPr="00453EB4">
        <w:rPr>
          <w:color w:val="222222"/>
          <w:highlight w:val="white"/>
          <w:lang w:val="en-US"/>
        </w:rPr>
        <w:t>effects.</w:t>
      </w:r>
      <w:proofErr w:type="gramEnd"/>
      <w:r w:rsidRPr="00453EB4">
        <w:rPr>
          <w:color w:val="222222"/>
          <w:highlight w:val="white"/>
          <w:lang w:val="en-US"/>
        </w:rPr>
        <w:t xml:space="preserve"> </w:t>
      </w:r>
      <w:r w:rsidRPr="00453EB4">
        <w:rPr>
          <w:i/>
          <w:lang w:val="en-US"/>
        </w:rPr>
        <w:t>Spatial Demography</w:t>
      </w:r>
      <w:r w:rsidRPr="00453EB4">
        <w:rPr>
          <w:lang w:val="en-US"/>
        </w:rPr>
        <w:t xml:space="preserve">, </w:t>
      </w:r>
      <w:r w:rsidRPr="00453EB4">
        <w:rPr>
          <w:i/>
          <w:lang w:val="en-US"/>
        </w:rPr>
        <w:t>4</w:t>
      </w:r>
      <w:r w:rsidRPr="00453EB4">
        <w:rPr>
          <w:lang w:val="en-US"/>
        </w:rPr>
        <w:t>(3), 175-205.</w:t>
      </w:r>
    </w:p>
    <w:p w14:paraId="725804E5" w14:textId="77777777" w:rsidR="004034C6" w:rsidRPr="00453EB4" w:rsidRDefault="004034C6">
      <w:pPr>
        <w:widowControl w:val="0"/>
        <w:spacing w:line="240" w:lineRule="auto"/>
        <w:jc w:val="both"/>
        <w:rPr>
          <w:color w:val="222222"/>
          <w:highlight w:val="white"/>
          <w:lang w:val="en-US"/>
        </w:rPr>
      </w:pPr>
    </w:p>
    <w:p w14:paraId="35C0C04D" w14:textId="77777777" w:rsidR="004034C6" w:rsidRPr="00453EB4" w:rsidRDefault="006C59F2">
      <w:pPr>
        <w:widowControl w:val="0"/>
        <w:spacing w:line="240" w:lineRule="auto"/>
        <w:jc w:val="both"/>
        <w:rPr>
          <w:lang w:val="en-US"/>
        </w:rPr>
      </w:pPr>
      <w:r w:rsidRPr="00453EB4">
        <w:rPr>
          <w:color w:val="222222"/>
          <w:highlight w:val="white"/>
          <w:lang w:val="en-US"/>
        </w:rPr>
        <w:t xml:space="preserve">Harris, R., Moffat, J., &amp; </w:t>
      </w:r>
      <w:proofErr w:type="spellStart"/>
      <w:r w:rsidRPr="00453EB4">
        <w:rPr>
          <w:color w:val="222222"/>
          <w:highlight w:val="white"/>
          <w:lang w:val="en-US"/>
        </w:rPr>
        <w:t>Kravtsova</w:t>
      </w:r>
      <w:proofErr w:type="spellEnd"/>
      <w:r w:rsidRPr="00453EB4">
        <w:rPr>
          <w:color w:val="222222"/>
          <w:highlight w:val="white"/>
          <w:lang w:val="en-US"/>
        </w:rPr>
        <w:t xml:space="preserve">, V. (2011). In search of ‘W’. </w:t>
      </w:r>
      <w:r w:rsidRPr="00453EB4">
        <w:rPr>
          <w:i/>
          <w:lang w:val="en-US"/>
        </w:rPr>
        <w:t>Spatial Economic Analysis</w:t>
      </w:r>
      <w:r w:rsidRPr="00453EB4">
        <w:rPr>
          <w:lang w:val="en-US"/>
        </w:rPr>
        <w:t xml:space="preserve">, </w:t>
      </w:r>
      <w:r w:rsidRPr="00453EB4">
        <w:rPr>
          <w:i/>
          <w:lang w:val="en-US"/>
        </w:rPr>
        <w:t>6</w:t>
      </w:r>
      <w:r w:rsidRPr="00453EB4">
        <w:rPr>
          <w:lang w:val="en-US"/>
        </w:rPr>
        <w:t>(3), 249-270.</w:t>
      </w:r>
    </w:p>
    <w:p w14:paraId="3E9E0E3C" w14:textId="77777777" w:rsidR="004034C6" w:rsidRPr="00453EB4" w:rsidRDefault="004034C6">
      <w:pPr>
        <w:widowControl w:val="0"/>
        <w:spacing w:line="240" w:lineRule="auto"/>
        <w:jc w:val="both"/>
        <w:rPr>
          <w:color w:val="222222"/>
          <w:highlight w:val="white"/>
          <w:lang w:val="en-US"/>
        </w:rPr>
      </w:pPr>
    </w:p>
    <w:p w14:paraId="5094D97B" w14:textId="77777777" w:rsidR="004034C6" w:rsidRPr="00453EB4" w:rsidRDefault="006C59F2">
      <w:pPr>
        <w:widowControl w:val="0"/>
        <w:spacing w:line="240" w:lineRule="auto"/>
        <w:jc w:val="both"/>
        <w:rPr>
          <w:lang w:val="en-US"/>
        </w:rPr>
      </w:pPr>
      <w:r w:rsidRPr="00453EB4">
        <w:rPr>
          <w:color w:val="222222"/>
          <w:highlight w:val="white"/>
          <w:lang w:val="en-US"/>
        </w:rPr>
        <w:t xml:space="preserve">Hastie, T., </w:t>
      </w:r>
      <w:proofErr w:type="spellStart"/>
      <w:r w:rsidRPr="00453EB4">
        <w:rPr>
          <w:color w:val="222222"/>
          <w:highlight w:val="white"/>
          <w:lang w:val="en-US"/>
        </w:rPr>
        <w:t>Tibshirani</w:t>
      </w:r>
      <w:proofErr w:type="spellEnd"/>
      <w:r w:rsidRPr="00453EB4">
        <w:rPr>
          <w:color w:val="222222"/>
          <w:highlight w:val="white"/>
          <w:lang w:val="en-US"/>
        </w:rPr>
        <w:t xml:space="preserve">, R., Friedman, J. H., &amp; Friedman, J. H. (2009). </w:t>
      </w:r>
      <w:r w:rsidRPr="00453EB4">
        <w:rPr>
          <w:i/>
          <w:lang w:val="en-US"/>
        </w:rPr>
        <w:t>The elements of statistical learning: data mining, inference, and prediction</w:t>
      </w:r>
      <w:r w:rsidRPr="00453EB4">
        <w:rPr>
          <w:lang w:val="en-US"/>
        </w:rPr>
        <w:t xml:space="preserve"> (Vol. 2, pp. 1-758). New York: springer.</w:t>
      </w:r>
    </w:p>
    <w:p w14:paraId="79681AAC" w14:textId="77777777" w:rsidR="004034C6" w:rsidRPr="00453EB4" w:rsidRDefault="004034C6">
      <w:pPr>
        <w:widowControl w:val="0"/>
        <w:spacing w:line="240" w:lineRule="auto"/>
        <w:jc w:val="both"/>
        <w:rPr>
          <w:lang w:val="en-US"/>
        </w:rPr>
      </w:pPr>
    </w:p>
    <w:p w14:paraId="29D43445" w14:textId="77777777" w:rsidR="004034C6" w:rsidRPr="00453EB4" w:rsidRDefault="006C59F2">
      <w:pPr>
        <w:widowControl w:val="0"/>
        <w:spacing w:line="240" w:lineRule="auto"/>
        <w:jc w:val="both"/>
        <w:rPr>
          <w:lang w:val="en-US"/>
        </w:rPr>
      </w:pPr>
      <w:proofErr w:type="spellStart"/>
      <w:r w:rsidRPr="00453EB4">
        <w:rPr>
          <w:lang w:val="en-US"/>
        </w:rPr>
        <w:t>Hechenbichler</w:t>
      </w:r>
      <w:proofErr w:type="spellEnd"/>
      <w:r w:rsidRPr="00453EB4">
        <w:rPr>
          <w:lang w:val="en-US"/>
        </w:rPr>
        <w:t xml:space="preserve">, K., &amp; </w:t>
      </w:r>
      <w:proofErr w:type="spellStart"/>
      <w:r w:rsidRPr="00453EB4">
        <w:rPr>
          <w:lang w:val="en-US"/>
        </w:rPr>
        <w:t>Schliep</w:t>
      </w:r>
      <w:proofErr w:type="spellEnd"/>
      <w:r w:rsidRPr="00453EB4">
        <w:rPr>
          <w:lang w:val="en-US"/>
        </w:rPr>
        <w:t>, K. (2004). Weighted k-nearest-neighbor techniques and ordinal classification.</w:t>
      </w:r>
    </w:p>
    <w:p w14:paraId="4CE5F13D" w14:textId="77777777" w:rsidR="004034C6" w:rsidRPr="00453EB4" w:rsidRDefault="004034C6">
      <w:pPr>
        <w:widowControl w:val="0"/>
        <w:spacing w:line="240" w:lineRule="auto"/>
        <w:jc w:val="both"/>
        <w:rPr>
          <w:lang w:val="en-US"/>
        </w:rPr>
      </w:pPr>
    </w:p>
    <w:p w14:paraId="2C649784" w14:textId="77777777" w:rsidR="004034C6" w:rsidRDefault="006C59F2">
      <w:pPr>
        <w:widowControl w:val="0"/>
        <w:spacing w:line="240" w:lineRule="auto"/>
        <w:jc w:val="both"/>
        <w:rPr>
          <w:color w:val="222222"/>
          <w:highlight w:val="white"/>
        </w:rPr>
      </w:pPr>
      <w:r>
        <w:rPr>
          <w:color w:val="222222"/>
          <w:highlight w:val="white"/>
        </w:rPr>
        <w:t xml:space="preserve">Herrera </w:t>
      </w:r>
      <w:proofErr w:type="spellStart"/>
      <w:r>
        <w:rPr>
          <w:color w:val="222222"/>
          <w:highlight w:val="white"/>
        </w:rPr>
        <w:t>Gomez</w:t>
      </w:r>
      <w:proofErr w:type="spellEnd"/>
      <w:r>
        <w:rPr>
          <w:color w:val="222222"/>
          <w:highlight w:val="white"/>
        </w:rPr>
        <w:t>, M. H. (2015). Econometría espacial usando Stata. Breve guía aplicada para datos de corte transversal.</w:t>
      </w:r>
    </w:p>
    <w:p w14:paraId="2A155B13" w14:textId="77777777" w:rsidR="004034C6" w:rsidRDefault="004034C6">
      <w:pPr>
        <w:widowControl w:val="0"/>
        <w:spacing w:line="240" w:lineRule="auto"/>
        <w:jc w:val="both"/>
      </w:pPr>
    </w:p>
    <w:p w14:paraId="1053C39E" w14:textId="77777777" w:rsidR="004034C6" w:rsidRDefault="006C59F2">
      <w:pPr>
        <w:widowControl w:val="0"/>
        <w:spacing w:line="240" w:lineRule="auto"/>
        <w:jc w:val="both"/>
        <w:rPr>
          <w:color w:val="1155CC"/>
          <w:u w:val="single"/>
        </w:rPr>
      </w:pPr>
      <w:r>
        <w:t>IDECOR (2021): "Mapa de Valores de Tierra Urbana 2021". Recuperado de:</w:t>
      </w:r>
      <w:hyperlink r:id="rId22">
        <w:r>
          <w:t xml:space="preserve"> </w:t>
        </w:r>
      </w:hyperlink>
      <w:hyperlink r:id="rId23">
        <w:r>
          <w:rPr>
            <w:color w:val="1155CC"/>
            <w:u w:val="single"/>
          </w:rPr>
          <w:t>https://www.mapascordoba.gob.ar</w:t>
        </w:r>
      </w:hyperlink>
    </w:p>
    <w:p w14:paraId="78844476" w14:textId="77777777" w:rsidR="004034C6" w:rsidRDefault="004034C6">
      <w:pPr>
        <w:widowControl w:val="0"/>
        <w:spacing w:line="240" w:lineRule="auto"/>
        <w:jc w:val="both"/>
      </w:pPr>
    </w:p>
    <w:p w14:paraId="05434853" w14:textId="77777777" w:rsidR="004034C6" w:rsidRDefault="006C59F2">
      <w:pPr>
        <w:widowControl w:val="0"/>
        <w:spacing w:line="240" w:lineRule="auto"/>
        <w:jc w:val="both"/>
        <w:rPr>
          <w:i/>
        </w:rPr>
      </w:pPr>
      <w:proofErr w:type="spellStart"/>
      <w:r w:rsidRPr="00453EB4">
        <w:rPr>
          <w:lang w:val="en-US"/>
        </w:rPr>
        <w:t>Kelejian</w:t>
      </w:r>
      <w:proofErr w:type="spellEnd"/>
      <w:r w:rsidRPr="00453EB4">
        <w:rPr>
          <w:lang w:val="en-US"/>
        </w:rPr>
        <w:t xml:space="preserve">, H.H. and I.R. </w:t>
      </w:r>
      <w:proofErr w:type="spellStart"/>
      <w:r w:rsidRPr="00453EB4">
        <w:rPr>
          <w:lang w:val="en-US"/>
        </w:rPr>
        <w:t>Prusha</w:t>
      </w:r>
      <w:proofErr w:type="spellEnd"/>
      <w:r w:rsidRPr="00453EB4">
        <w:rPr>
          <w:lang w:val="en-US"/>
        </w:rPr>
        <w:t xml:space="preserve"> (2010). Spatial models with spatially lagged dependent variables and incomplete data.</w:t>
      </w:r>
      <w:r w:rsidRPr="00453EB4">
        <w:rPr>
          <w:i/>
          <w:lang w:val="en-US"/>
        </w:rPr>
        <w:t xml:space="preserve"> </w:t>
      </w:r>
      <w:proofErr w:type="spellStart"/>
      <w:r>
        <w:rPr>
          <w:i/>
        </w:rPr>
        <w:t>Journal</w:t>
      </w:r>
      <w:proofErr w:type="spellEnd"/>
      <w:r>
        <w:rPr>
          <w:i/>
        </w:rPr>
        <w:t xml:space="preserve"> of </w:t>
      </w:r>
      <w:proofErr w:type="spellStart"/>
      <w:r>
        <w:rPr>
          <w:i/>
        </w:rPr>
        <w:t>geographical</w:t>
      </w:r>
      <w:proofErr w:type="spellEnd"/>
      <w:r>
        <w:rPr>
          <w:i/>
        </w:rPr>
        <w:t xml:space="preserve"> </w:t>
      </w:r>
      <w:proofErr w:type="spellStart"/>
      <w:r>
        <w:rPr>
          <w:i/>
        </w:rPr>
        <w:t>systems</w:t>
      </w:r>
      <w:proofErr w:type="spellEnd"/>
    </w:p>
    <w:p w14:paraId="013A4989" w14:textId="77777777" w:rsidR="004034C6" w:rsidRDefault="004034C6">
      <w:pPr>
        <w:widowControl w:val="0"/>
        <w:spacing w:line="240" w:lineRule="auto"/>
        <w:jc w:val="both"/>
        <w:rPr>
          <w:color w:val="222222"/>
          <w:highlight w:val="white"/>
        </w:rPr>
      </w:pPr>
    </w:p>
    <w:p w14:paraId="3423B4C8" w14:textId="77777777" w:rsidR="004034C6" w:rsidRPr="00453EB4" w:rsidRDefault="006C59F2">
      <w:pPr>
        <w:widowControl w:val="0"/>
        <w:spacing w:line="240" w:lineRule="auto"/>
        <w:jc w:val="both"/>
        <w:rPr>
          <w:color w:val="222222"/>
          <w:highlight w:val="white"/>
          <w:lang w:val="en-US"/>
        </w:rPr>
      </w:pPr>
      <w:r>
        <w:rPr>
          <w:color w:val="222222"/>
          <w:highlight w:val="white"/>
        </w:rPr>
        <w:t xml:space="preserve">Ley 27551. Modificación. CÓDIGO CIVIL Y COMERCIAL DE LA NACIÓN.  </w:t>
      </w:r>
      <w:hyperlink r:id="rId24">
        <w:r w:rsidRPr="00453EB4">
          <w:rPr>
            <w:color w:val="1155CC"/>
            <w:highlight w:val="white"/>
            <w:u w:val="single"/>
            <w:lang w:val="en-US"/>
          </w:rPr>
          <w:t>http://servicios.infoleg.gob.ar/infolegInternet/anexos/335000-339999/339378/norma.htm</w:t>
        </w:r>
      </w:hyperlink>
      <w:r w:rsidRPr="00453EB4">
        <w:rPr>
          <w:color w:val="222222"/>
          <w:highlight w:val="white"/>
          <w:lang w:val="en-US"/>
        </w:rPr>
        <w:t xml:space="preserve"> </w:t>
      </w:r>
    </w:p>
    <w:p w14:paraId="58DB3658" w14:textId="77777777" w:rsidR="004034C6" w:rsidRPr="00453EB4" w:rsidRDefault="004034C6">
      <w:pPr>
        <w:widowControl w:val="0"/>
        <w:spacing w:line="240" w:lineRule="auto"/>
        <w:jc w:val="both"/>
        <w:rPr>
          <w:lang w:val="en-US"/>
        </w:rPr>
      </w:pPr>
    </w:p>
    <w:p w14:paraId="6CC0C391" w14:textId="77777777" w:rsidR="004034C6" w:rsidRPr="00453EB4" w:rsidRDefault="006C59F2">
      <w:pPr>
        <w:widowControl w:val="0"/>
        <w:spacing w:line="240" w:lineRule="auto"/>
        <w:jc w:val="both"/>
        <w:rPr>
          <w:lang w:val="en-US"/>
        </w:rPr>
      </w:pPr>
      <w:proofErr w:type="spellStart"/>
      <w:r w:rsidRPr="00453EB4">
        <w:rPr>
          <w:lang w:val="en-US"/>
        </w:rPr>
        <w:t>Meinshausen</w:t>
      </w:r>
      <w:proofErr w:type="spellEnd"/>
      <w:r w:rsidRPr="00453EB4">
        <w:rPr>
          <w:lang w:val="en-US"/>
        </w:rPr>
        <w:t xml:space="preserve">, N. (2006). Quantile regression forests. </w:t>
      </w:r>
      <w:r w:rsidRPr="00453EB4">
        <w:rPr>
          <w:i/>
          <w:lang w:val="en-US"/>
        </w:rPr>
        <w:t>Journal of Machine Learning Research</w:t>
      </w:r>
      <w:r w:rsidRPr="00453EB4">
        <w:rPr>
          <w:lang w:val="en-US"/>
        </w:rPr>
        <w:t>, 7(Jun), 983–999.</w:t>
      </w:r>
    </w:p>
    <w:p w14:paraId="3A1B81EB" w14:textId="77777777" w:rsidR="004034C6" w:rsidRPr="00453EB4" w:rsidRDefault="004034C6">
      <w:pPr>
        <w:widowControl w:val="0"/>
        <w:spacing w:line="240" w:lineRule="auto"/>
        <w:jc w:val="both"/>
        <w:rPr>
          <w:color w:val="222222"/>
          <w:highlight w:val="white"/>
          <w:lang w:val="en-US"/>
        </w:rPr>
      </w:pPr>
    </w:p>
    <w:p w14:paraId="4C53F21B" w14:textId="77777777" w:rsidR="004034C6" w:rsidRPr="00453EB4" w:rsidRDefault="006C59F2">
      <w:pPr>
        <w:widowControl w:val="0"/>
        <w:spacing w:line="240" w:lineRule="auto"/>
        <w:jc w:val="both"/>
        <w:rPr>
          <w:lang w:val="en-US"/>
        </w:rPr>
      </w:pPr>
      <w:r w:rsidRPr="00453EB4">
        <w:rPr>
          <w:color w:val="222222"/>
          <w:highlight w:val="white"/>
          <w:lang w:val="en-US"/>
        </w:rPr>
        <w:t xml:space="preserve">Moran, P. A. (1950). Notes on continuous stochastic phenomena. </w:t>
      </w:r>
      <w:proofErr w:type="spellStart"/>
      <w:r w:rsidRPr="00453EB4">
        <w:rPr>
          <w:i/>
          <w:lang w:val="en-US"/>
        </w:rPr>
        <w:t>Biometrika</w:t>
      </w:r>
      <w:proofErr w:type="spellEnd"/>
      <w:r w:rsidRPr="00453EB4">
        <w:rPr>
          <w:lang w:val="en-US"/>
        </w:rPr>
        <w:t xml:space="preserve">, </w:t>
      </w:r>
      <w:r w:rsidRPr="00453EB4">
        <w:rPr>
          <w:i/>
          <w:lang w:val="en-US"/>
        </w:rPr>
        <w:t>37</w:t>
      </w:r>
      <w:r w:rsidRPr="00453EB4">
        <w:rPr>
          <w:lang w:val="en-US"/>
        </w:rPr>
        <w:t>(1/2), 17-23.</w:t>
      </w:r>
    </w:p>
    <w:p w14:paraId="4B7BD890" w14:textId="77777777" w:rsidR="004034C6" w:rsidRPr="00453EB4" w:rsidRDefault="004034C6">
      <w:pPr>
        <w:widowControl w:val="0"/>
        <w:spacing w:line="240" w:lineRule="auto"/>
        <w:jc w:val="both"/>
        <w:rPr>
          <w:lang w:val="en-US"/>
        </w:rPr>
      </w:pPr>
    </w:p>
    <w:p w14:paraId="692FF596" w14:textId="77777777" w:rsidR="004034C6" w:rsidRPr="00453EB4" w:rsidRDefault="006C59F2">
      <w:pPr>
        <w:widowControl w:val="0"/>
        <w:spacing w:line="240" w:lineRule="auto"/>
        <w:jc w:val="both"/>
        <w:rPr>
          <w:lang w:val="en-US"/>
        </w:rPr>
      </w:pPr>
      <w:r w:rsidRPr="00453EB4">
        <w:rPr>
          <w:lang w:val="en-US"/>
        </w:rPr>
        <w:t>OSM (2022): “</w:t>
      </w:r>
      <w:proofErr w:type="spellStart"/>
      <w:r w:rsidRPr="00453EB4">
        <w:rPr>
          <w:lang w:val="en-US"/>
        </w:rPr>
        <w:t>Openstreetmaps</w:t>
      </w:r>
      <w:proofErr w:type="spellEnd"/>
      <w:r w:rsidRPr="00453EB4">
        <w:rPr>
          <w:lang w:val="en-US"/>
        </w:rPr>
        <w:t>”.</w:t>
      </w:r>
      <w:hyperlink r:id="rId25">
        <w:r w:rsidRPr="00453EB4">
          <w:rPr>
            <w:lang w:val="en-US"/>
          </w:rPr>
          <w:t xml:space="preserve"> </w:t>
        </w:r>
      </w:hyperlink>
      <w:hyperlink r:id="rId26">
        <w:r w:rsidRPr="00453EB4">
          <w:rPr>
            <w:color w:val="1155CC"/>
            <w:u w:val="single"/>
            <w:lang w:val="en-US"/>
          </w:rPr>
          <w:t>https://www.openstreetmap.org/</w:t>
        </w:r>
      </w:hyperlink>
      <w:r w:rsidRPr="00453EB4">
        <w:rPr>
          <w:lang w:val="en-US"/>
        </w:rPr>
        <w:t xml:space="preserve"> </w:t>
      </w:r>
    </w:p>
    <w:p w14:paraId="6FED5D32" w14:textId="77777777" w:rsidR="004034C6" w:rsidRDefault="006C59F2">
      <w:pPr>
        <w:widowControl w:val="0"/>
        <w:spacing w:line="240" w:lineRule="auto"/>
        <w:jc w:val="both"/>
      </w:pPr>
      <w:r>
        <w:rPr>
          <w:color w:val="222222"/>
          <w:highlight w:val="white"/>
        </w:rPr>
        <w:t xml:space="preserve">Serrano, R. M., &amp; </w:t>
      </w:r>
      <w:proofErr w:type="spellStart"/>
      <w:r>
        <w:rPr>
          <w:color w:val="222222"/>
          <w:highlight w:val="white"/>
        </w:rPr>
        <w:t>Vayá</w:t>
      </w:r>
      <w:proofErr w:type="spellEnd"/>
      <w:r>
        <w:rPr>
          <w:color w:val="222222"/>
          <w:highlight w:val="white"/>
        </w:rPr>
        <w:t xml:space="preserve">, E. V. (2002). Econometría espacial: nuevas técnicas para </w:t>
      </w:r>
      <w:r>
        <w:rPr>
          <w:color w:val="222222"/>
          <w:highlight w:val="white"/>
        </w:rPr>
        <w:lastRenderedPageBreak/>
        <w:t xml:space="preserve">el análisis regional. Una aplicación a las regiones europeas. </w:t>
      </w:r>
      <w:r>
        <w:rPr>
          <w:i/>
        </w:rPr>
        <w:t>Investigaciones Regionales-</w:t>
      </w:r>
      <w:proofErr w:type="spellStart"/>
      <w:r>
        <w:rPr>
          <w:i/>
        </w:rPr>
        <w:t>Journal</w:t>
      </w:r>
      <w:proofErr w:type="spellEnd"/>
      <w:r>
        <w:rPr>
          <w:i/>
        </w:rPr>
        <w:t xml:space="preserve"> of Regional </w:t>
      </w:r>
      <w:proofErr w:type="spellStart"/>
      <w:r>
        <w:rPr>
          <w:i/>
        </w:rPr>
        <w:t>Research</w:t>
      </w:r>
      <w:proofErr w:type="spellEnd"/>
      <w:r>
        <w:t>, (1), 83-106.</w:t>
      </w:r>
    </w:p>
    <w:p w14:paraId="001D41FA" w14:textId="77777777" w:rsidR="004034C6" w:rsidRDefault="004034C6">
      <w:pPr>
        <w:widowControl w:val="0"/>
        <w:spacing w:line="240" w:lineRule="auto"/>
        <w:jc w:val="both"/>
      </w:pPr>
    </w:p>
    <w:p w14:paraId="7D78BC34" w14:textId="77777777" w:rsidR="004034C6" w:rsidRDefault="006C59F2">
      <w:pPr>
        <w:widowControl w:val="0"/>
        <w:spacing w:line="240" w:lineRule="auto"/>
        <w:jc w:val="both"/>
      </w:pPr>
      <w:proofErr w:type="spellStart"/>
      <w:r w:rsidRPr="00453EB4">
        <w:rPr>
          <w:color w:val="222222"/>
          <w:highlight w:val="white"/>
          <w:lang w:val="en-US"/>
        </w:rPr>
        <w:t>Wolpert</w:t>
      </w:r>
      <w:proofErr w:type="spellEnd"/>
      <w:r w:rsidRPr="00453EB4">
        <w:rPr>
          <w:color w:val="222222"/>
          <w:highlight w:val="white"/>
          <w:lang w:val="en-US"/>
        </w:rPr>
        <w:t xml:space="preserve">, D. H. (1992). Stacked generalization. </w:t>
      </w:r>
      <w:r>
        <w:rPr>
          <w:i/>
        </w:rPr>
        <w:t xml:space="preserve">Neural </w:t>
      </w:r>
      <w:proofErr w:type="spellStart"/>
      <w:r>
        <w:rPr>
          <w:i/>
        </w:rPr>
        <w:t>networks</w:t>
      </w:r>
      <w:proofErr w:type="spellEnd"/>
      <w:r>
        <w:t>, 5 (2), 241–259.</w:t>
      </w:r>
    </w:p>
    <w:p w14:paraId="1BD9136D" w14:textId="77777777" w:rsidR="004034C6" w:rsidRDefault="004034C6">
      <w:pPr>
        <w:widowControl w:val="0"/>
        <w:spacing w:line="240" w:lineRule="auto"/>
        <w:jc w:val="both"/>
      </w:pPr>
    </w:p>
    <w:p w14:paraId="71CAFA1C" w14:textId="77777777" w:rsidR="004034C6" w:rsidRDefault="004034C6">
      <w:pPr>
        <w:spacing w:line="240" w:lineRule="auto"/>
        <w:jc w:val="both"/>
        <w:rPr>
          <w:color w:val="222222"/>
          <w:highlight w:val="white"/>
        </w:rPr>
      </w:pPr>
    </w:p>
    <w:p w14:paraId="12EA093F" w14:textId="77777777" w:rsidR="004034C6" w:rsidRDefault="006C59F2">
      <w:pPr>
        <w:spacing w:line="240" w:lineRule="auto"/>
        <w:jc w:val="both"/>
      </w:pPr>
      <w:r>
        <w:br w:type="page"/>
      </w:r>
    </w:p>
    <w:p w14:paraId="37718024" w14:textId="77777777" w:rsidR="004034C6" w:rsidRDefault="006C59F2">
      <w:pPr>
        <w:pStyle w:val="Ttulo1"/>
        <w:spacing w:before="0" w:after="0" w:line="240" w:lineRule="auto"/>
        <w:jc w:val="both"/>
        <w:rPr>
          <w:b/>
          <w:sz w:val="22"/>
          <w:szCs w:val="22"/>
        </w:rPr>
      </w:pPr>
      <w:bookmarkStart w:id="11" w:name="_po36m49x3z0g" w:colFirst="0" w:colLast="0"/>
      <w:bookmarkEnd w:id="11"/>
      <w:r>
        <w:rPr>
          <w:b/>
          <w:sz w:val="22"/>
          <w:szCs w:val="22"/>
        </w:rPr>
        <w:lastRenderedPageBreak/>
        <w:t>ANEXO METODOLÓGICO</w:t>
      </w:r>
    </w:p>
    <w:p w14:paraId="184DBF25" w14:textId="77777777" w:rsidR="004034C6" w:rsidRDefault="004034C6">
      <w:pPr>
        <w:spacing w:line="240" w:lineRule="auto"/>
        <w:jc w:val="both"/>
      </w:pPr>
    </w:p>
    <w:p w14:paraId="79AAAEA7" w14:textId="77777777" w:rsidR="004034C6" w:rsidRDefault="006C59F2">
      <w:pPr>
        <w:spacing w:line="240" w:lineRule="auto"/>
        <w:jc w:val="both"/>
      </w:pPr>
      <w:r>
        <w:t>En el presente anexo se detalla la metodología de homogeneización, la cual permite expresar el valor (a septiembre del 2021) de cualquier inmueble en un valor típico de alquiler que se denomina Valor Unitario del Alquiler (VUA). Las características típicas de un alquiler se definieron de la siguiente manera: un departamento de 50 m2, nuevo, de ubicación en la cuadra medial, categoría constructiva estándar, sin patio y estado de conservación regular.</w:t>
      </w:r>
    </w:p>
    <w:p w14:paraId="23FB300F" w14:textId="77777777" w:rsidR="004034C6" w:rsidRDefault="004034C6">
      <w:pPr>
        <w:spacing w:line="240" w:lineRule="auto"/>
        <w:jc w:val="both"/>
      </w:pPr>
    </w:p>
    <w:p w14:paraId="766F7ECC" w14:textId="77777777" w:rsidR="004034C6" w:rsidRDefault="006C59F2">
      <w:pPr>
        <w:spacing w:line="240" w:lineRule="auto"/>
        <w:jc w:val="both"/>
      </w:pPr>
      <w:r>
        <w:t>El valor actualizado en metro cuadrado puede explicarse como la suma de las distintas variables que la afectan. Las variables continuas, como lo son el valor por metro cuadrado actualizado a septiembre y la superficie edificada, se expresan en logaritmo natural para que puedan ser expresados como elasticidades y facilitar la interpretación de los coeficientes.</w:t>
      </w:r>
    </w:p>
    <w:p w14:paraId="2E603FA9" w14:textId="77777777" w:rsidR="004034C6" w:rsidRDefault="006C59F2">
      <w:pPr>
        <w:shd w:val="clear" w:color="auto" w:fill="FFFFFF"/>
        <w:spacing w:line="240" w:lineRule="auto"/>
        <w:jc w:val="center"/>
      </w:pPr>
      <w:r>
        <w:rPr>
          <w:noProof/>
          <w:highlight w:val="white"/>
          <w:lang w:val="en-US" w:eastAsia="en-US"/>
        </w:rPr>
        <w:drawing>
          <wp:inline distT="114300" distB="114300" distL="114300" distR="114300" wp14:anchorId="07BD5FC5" wp14:editId="070FC9C2">
            <wp:extent cx="5145563" cy="957314"/>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5145563" cy="957314"/>
                    </a:xfrm>
                    <a:prstGeom prst="rect">
                      <a:avLst/>
                    </a:prstGeom>
                    <a:ln/>
                  </pic:spPr>
                </pic:pic>
              </a:graphicData>
            </a:graphic>
          </wp:inline>
        </w:drawing>
      </w:r>
    </w:p>
    <w:p w14:paraId="3D77116F" w14:textId="77777777" w:rsidR="004034C6" w:rsidRDefault="006C59F2">
      <w:pPr>
        <w:shd w:val="clear" w:color="auto" w:fill="FFFFFF"/>
        <w:spacing w:line="240" w:lineRule="auto"/>
        <w:rPr>
          <w:highlight w:val="white"/>
        </w:rPr>
      </w:pPr>
      <w:r>
        <w:rPr>
          <w:highlight w:val="white"/>
        </w:rPr>
        <w:t>Donde:</w:t>
      </w:r>
    </w:p>
    <w:p w14:paraId="1BE49D67" w14:textId="77777777" w:rsidR="004034C6" w:rsidRDefault="006C59F2">
      <w:pPr>
        <w:numPr>
          <w:ilvl w:val="0"/>
          <w:numId w:val="3"/>
        </w:numPr>
        <w:shd w:val="clear" w:color="auto" w:fill="FFFFFF"/>
        <w:spacing w:line="240" w:lineRule="auto"/>
        <w:jc w:val="both"/>
        <w:rPr>
          <w:color w:val="000000"/>
          <w:highlight w:val="white"/>
        </w:rPr>
      </w:pPr>
      <w:r>
        <w:rPr>
          <w:highlight w:val="white"/>
        </w:rPr>
        <w:t>valor actualizado m2: valores de mercado de la muestra de alquileres, en pesos actualizados a un mismo periodo del tiempo, expresados por metro cuadrado.</w:t>
      </w:r>
    </w:p>
    <w:p w14:paraId="2C77363C" w14:textId="77777777" w:rsidR="004034C6" w:rsidRDefault="006C59F2">
      <w:pPr>
        <w:numPr>
          <w:ilvl w:val="0"/>
          <w:numId w:val="3"/>
        </w:numPr>
        <w:shd w:val="clear" w:color="auto" w:fill="FFFFFF"/>
        <w:spacing w:line="240" w:lineRule="auto"/>
        <w:jc w:val="both"/>
        <w:rPr>
          <w:color w:val="000000"/>
          <w:highlight w:val="white"/>
        </w:rPr>
      </w:pPr>
      <w:r>
        <w:rPr>
          <w:highlight w:val="white"/>
        </w:rPr>
        <w:t>superficie edificada: superficie cubierta propia del inmueble.</w:t>
      </w:r>
    </w:p>
    <w:p w14:paraId="74687003" w14:textId="77777777" w:rsidR="004034C6" w:rsidRDefault="006C59F2">
      <w:pPr>
        <w:numPr>
          <w:ilvl w:val="0"/>
          <w:numId w:val="3"/>
        </w:numPr>
        <w:shd w:val="clear" w:color="auto" w:fill="FFFFFF"/>
        <w:spacing w:line="240" w:lineRule="auto"/>
        <w:jc w:val="both"/>
        <w:rPr>
          <w:color w:val="000000"/>
          <w:highlight w:val="white"/>
        </w:rPr>
      </w:pPr>
      <w:r>
        <w:rPr>
          <w:highlight w:val="white"/>
        </w:rPr>
        <w:t>ubicación cuadra: variable categórica que indica la ubicación en la cuadra: 1 = medial, 2 = esquina, 3 = interno, 4 = salida a dos o más calles, 5 = pasillo.</w:t>
      </w:r>
    </w:p>
    <w:p w14:paraId="659E2996" w14:textId="77777777" w:rsidR="004034C6" w:rsidRDefault="006C59F2">
      <w:pPr>
        <w:numPr>
          <w:ilvl w:val="0"/>
          <w:numId w:val="3"/>
        </w:numPr>
        <w:shd w:val="clear" w:color="auto" w:fill="FFFFFF"/>
        <w:spacing w:line="240" w:lineRule="auto"/>
        <w:jc w:val="both"/>
        <w:rPr>
          <w:color w:val="000000"/>
          <w:highlight w:val="white"/>
        </w:rPr>
      </w:pPr>
      <w:r>
        <w:rPr>
          <w:highlight w:val="white"/>
        </w:rPr>
        <w:t>tipología: variable categórica que indica la tipología del alquiler, las clases son: D = Departamento, C = Comercio, O = Oficina y V = Vivienda.</w:t>
      </w:r>
    </w:p>
    <w:p w14:paraId="7FAE3B20" w14:textId="77777777" w:rsidR="004034C6" w:rsidRDefault="006C59F2">
      <w:pPr>
        <w:numPr>
          <w:ilvl w:val="0"/>
          <w:numId w:val="3"/>
        </w:numPr>
        <w:shd w:val="clear" w:color="auto" w:fill="FFFFFF"/>
        <w:spacing w:line="240" w:lineRule="auto"/>
        <w:jc w:val="both"/>
        <w:rPr>
          <w:color w:val="000000"/>
          <w:highlight w:val="white"/>
        </w:rPr>
      </w:pPr>
      <w:r>
        <w:rPr>
          <w:highlight w:val="white"/>
        </w:rPr>
        <w:t xml:space="preserve">categoría constructiva: variable categórica que indica la categoría constructiva donde 0 </w:t>
      </w:r>
      <w:proofErr w:type="gramStart"/>
      <w:r>
        <w:rPr>
          <w:highlight w:val="white"/>
        </w:rPr>
        <w:t>=  Baja</w:t>
      </w:r>
      <w:proofErr w:type="gramEnd"/>
      <w:r>
        <w:rPr>
          <w:highlight w:val="white"/>
        </w:rPr>
        <w:t>, 1 = Estándar, 2 =  Media Alta y 3 = Alta.</w:t>
      </w:r>
    </w:p>
    <w:p w14:paraId="5A1F4072" w14:textId="77777777" w:rsidR="004034C6" w:rsidRDefault="006C59F2">
      <w:pPr>
        <w:numPr>
          <w:ilvl w:val="0"/>
          <w:numId w:val="3"/>
        </w:numPr>
        <w:shd w:val="clear" w:color="auto" w:fill="FFFFFF"/>
        <w:spacing w:line="240" w:lineRule="auto"/>
        <w:jc w:val="both"/>
        <w:rPr>
          <w:color w:val="000000"/>
          <w:highlight w:val="white"/>
        </w:rPr>
      </w:pPr>
      <w:r>
        <w:rPr>
          <w:highlight w:val="white"/>
        </w:rPr>
        <w:t>estado de conservación: variable categórica que indica el estado de conservación, que puede ser 1= Malo, 2 = Regular o 3 = Bueno.</w:t>
      </w:r>
    </w:p>
    <w:p w14:paraId="7BF83F22" w14:textId="77777777" w:rsidR="004034C6" w:rsidRDefault="006C59F2">
      <w:pPr>
        <w:numPr>
          <w:ilvl w:val="0"/>
          <w:numId w:val="3"/>
        </w:numPr>
        <w:shd w:val="clear" w:color="auto" w:fill="FFFFFF"/>
        <w:spacing w:line="240" w:lineRule="auto"/>
        <w:jc w:val="both"/>
        <w:rPr>
          <w:color w:val="000000"/>
          <w:highlight w:val="white"/>
        </w:rPr>
      </w:pPr>
      <w:r>
        <w:rPr>
          <w:highlight w:val="white"/>
        </w:rPr>
        <w:t>antigüedad: antigüedad de la construcción en años.</w:t>
      </w:r>
    </w:p>
    <w:p w14:paraId="7D9B06DD" w14:textId="77777777" w:rsidR="004034C6" w:rsidRDefault="006C59F2">
      <w:pPr>
        <w:numPr>
          <w:ilvl w:val="0"/>
          <w:numId w:val="3"/>
        </w:numPr>
        <w:shd w:val="clear" w:color="auto" w:fill="FFFFFF"/>
        <w:spacing w:line="240" w:lineRule="auto"/>
        <w:jc w:val="both"/>
        <w:rPr>
          <w:color w:val="000000"/>
          <w:highlight w:val="white"/>
        </w:rPr>
      </w:pPr>
      <w:r>
        <w:rPr>
          <w:highlight w:val="white"/>
        </w:rPr>
        <w:t>antigüedad2: antigüedad de la construcción en años elevada al cuadrado</w:t>
      </w:r>
    </w:p>
    <w:p w14:paraId="3F6354E1" w14:textId="77777777" w:rsidR="004034C6" w:rsidRDefault="006C59F2">
      <w:pPr>
        <w:numPr>
          <w:ilvl w:val="0"/>
          <w:numId w:val="3"/>
        </w:numPr>
        <w:shd w:val="clear" w:color="auto" w:fill="FFFFFF"/>
        <w:spacing w:line="240" w:lineRule="auto"/>
        <w:jc w:val="both"/>
        <w:rPr>
          <w:color w:val="000000"/>
          <w:highlight w:val="white"/>
        </w:rPr>
      </w:pPr>
      <w:r>
        <w:rPr>
          <w:highlight w:val="white"/>
        </w:rPr>
        <w:t xml:space="preserve">patio: variable categórica que indica las características del patio de una vivienda. 1 = patio grande, 2 = patio chico, 3 = no tiene patio. Se construyó realizando </w:t>
      </w:r>
      <w:proofErr w:type="gramStart"/>
      <w:r>
        <w:rPr>
          <w:highlight w:val="white"/>
        </w:rPr>
        <w:t>el ratio</w:t>
      </w:r>
      <w:proofErr w:type="gramEnd"/>
      <w:r>
        <w:rPr>
          <w:highlight w:val="white"/>
        </w:rPr>
        <w:t xml:space="preserve"> entre superficie edificada y superficie del terreno sólo para la tipología vivienda. Para </w:t>
      </w:r>
      <w:proofErr w:type="gramStart"/>
      <w:r>
        <w:rPr>
          <w:highlight w:val="white"/>
        </w:rPr>
        <w:t>el ratio menor</w:t>
      </w:r>
      <w:proofErr w:type="gramEnd"/>
      <w:r>
        <w:rPr>
          <w:highlight w:val="white"/>
        </w:rPr>
        <w:t xml:space="preserve"> a 0,5 la categoría asignada fue 3, entre 0,5 y 0,95 categoría 2 y mayor a 0,95 sin patio.</w:t>
      </w:r>
    </w:p>
    <w:p w14:paraId="60BC1AAC" w14:textId="77777777" w:rsidR="004034C6" w:rsidRDefault="004034C6">
      <w:pPr>
        <w:spacing w:line="240" w:lineRule="auto"/>
        <w:jc w:val="both"/>
      </w:pPr>
    </w:p>
    <w:p w14:paraId="2B5817A5" w14:textId="77777777" w:rsidR="004034C6" w:rsidRDefault="006C59F2">
      <w:pPr>
        <w:spacing w:line="240" w:lineRule="auto"/>
        <w:jc w:val="both"/>
      </w:pPr>
      <w:r>
        <w:t xml:space="preserve">Para calcular los efectos que cada una de estas variables tiene sobre el valor por metro cuadrado de alquiler se puede realizar una regresión lineal. Sin embargo, </w:t>
      </w:r>
      <w:r>
        <w:lastRenderedPageBreak/>
        <w:t>dada la naturaleza espacial de la variable, es necesario considerar la autocorrelación espacial en la ecuación. Este fenómeno se observa cuando lo que sucede en un lugar geográfico repercute en sus vecinos (</w:t>
      </w:r>
      <w:r>
        <w:rPr>
          <w:color w:val="222222"/>
          <w:highlight w:val="white"/>
        </w:rPr>
        <w:t xml:space="preserve">Serrano &amp; </w:t>
      </w:r>
      <w:proofErr w:type="spellStart"/>
      <w:r>
        <w:rPr>
          <w:color w:val="222222"/>
          <w:highlight w:val="white"/>
        </w:rPr>
        <w:t>Vayá</w:t>
      </w:r>
      <w:proofErr w:type="spellEnd"/>
      <w:r>
        <w:rPr>
          <w:color w:val="222222"/>
          <w:highlight w:val="white"/>
        </w:rPr>
        <w:t>, 2002</w:t>
      </w:r>
      <w:r>
        <w:t>). Para capturar esta información se define una matriz de vecindario W, donde se cuantifican los pesos espaciales, en este trabajo se toma la función de la inversa de la distancia entre observaciones; sin embargo, se pueden definir múltiples tipos de matrices de vecindario según las características del fenómeno que se desee estudiar. De esta manera, la matriz W se compone con información de los vecinos de cada observación, considerando que una observación no puede ser vecina de sí misma, es decir la diagonal principal de la matriz es cero (</w:t>
      </w:r>
      <w:proofErr w:type="spellStart"/>
      <w:r>
        <w:rPr>
          <w:highlight w:val="white"/>
        </w:rPr>
        <w:t>Corrado</w:t>
      </w:r>
      <w:proofErr w:type="spellEnd"/>
      <w:r>
        <w:rPr>
          <w:highlight w:val="white"/>
        </w:rPr>
        <w:t xml:space="preserve"> &amp; </w:t>
      </w:r>
      <w:proofErr w:type="spellStart"/>
      <w:r>
        <w:rPr>
          <w:highlight w:val="white"/>
        </w:rPr>
        <w:t>Fingleton</w:t>
      </w:r>
      <w:proofErr w:type="spellEnd"/>
      <w:r>
        <w:rPr>
          <w:highlight w:val="white"/>
        </w:rPr>
        <w:t>, 2012</w:t>
      </w:r>
      <w:r>
        <w:t xml:space="preserve">; </w:t>
      </w:r>
      <w:r>
        <w:rPr>
          <w:highlight w:val="white"/>
        </w:rPr>
        <w:t xml:space="preserve">Harris, </w:t>
      </w:r>
      <w:proofErr w:type="spellStart"/>
      <w:r>
        <w:rPr>
          <w:highlight w:val="white"/>
        </w:rPr>
        <w:t>Moffat</w:t>
      </w:r>
      <w:proofErr w:type="spellEnd"/>
      <w:r>
        <w:rPr>
          <w:highlight w:val="white"/>
        </w:rPr>
        <w:t xml:space="preserve"> &amp; </w:t>
      </w:r>
      <w:proofErr w:type="spellStart"/>
      <w:r>
        <w:rPr>
          <w:highlight w:val="white"/>
        </w:rPr>
        <w:t>Kravtsova</w:t>
      </w:r>
      <w:proofErr w:type="spellEnd"/>
      <w:r>
        <w:rPr>
          <w:highlight w:val="white"/>
        </w:rPr>
        <w:t>, 2011</w:t>
      </w:r>
      <w:r>
        <w:t xml:space="preserve">). </w:t>
      </w:r>
    </w:p>
    <w:p w14:paraId="6D8FE2A4" w14:textId="77777777" w:rsidR="004034C6" w:rsidRDefault="004034C6">
      <w:pPr>
        <w:spacing w:line="240" w:lineRule="auto"/>
        <w:jc w:val="both"/>
      </w:pPr>
    </w:p>
    <w:p w14:paraId="43F69547" w14:textId="77777777" w:rsidR="004034C6" w:rsidRDefault="006C59F2">
      <w:pPr>
        <w:spacing w:line="240" w:lineRule="auto"/>
        <w:jc w:val="both"/>
        <w:rPr>
          <w:highlight w:val="white"/>
        </w:rPr>
      </w:pPr>
      <w:r>
        <w:t>Se puede someter a prueba de hipótesis la existencia de la autocorrelación espacial por medio del test I de Moran (</w:t>
      </w:r>
      <w:r>
        <w:rPr>
          <w:color w:val="222222"/>
          <w:highlight w:val="white"/>
        </w:rPr>
        <w:t>Moran, 1950</w:t>
      </w:r>
      <w:r>
        <w:t xml:space="preserve">). Para el caso que se está analizando en este artículo, el test de Moran rechazó la </w:t>
      </w:r>
      <w:proofErr w:type="gramStart"/>
      <w:r>
        <w:t>hipótesis  nula</w:t>
      </w:r>
      <w:proofErr w:type="gramEnd"/>
      <w:r>
        <w:t xml:space="preserve"> de no existencia de autocorrelación espacial con un nivel de confianza del 99%. A su vez, existen diversos test para analizar la naturaleza de la autocorrelación espacial. En este trabajo se utilizaron los multiplicadores de </w:t>
      </w:r>
      <w:proofErr w:type="spellStart"/>
      <w:r>
        <w:t>lagrange</w:t>
      </w:r>
      <w:proofErr w:type="spellEnd"/>
      <w:r>
        <w:t xml:space="preserve"> robustos (</w:t>
      </w:r>
      <w:proofErr w:type="spellStart"/>
      <w:r>
        <w:t>Burridge</w:t>
      </w:r>
      <w:proofErr w:type="spellEnd"/>
      <w:r>
        <w:t xml:space="preserve">, 1981; </w:t>
      </w:r>
      <w:proofErr w:type="spellStart"/>
      <w:r>
        <w:t>Anselin</w:t>
      </w:r>
      <w:proofErr w:type="spellEnd"/>
      <w:r>
        <w:t>, et. al., 1996) y se decidió aplicar un modelo con dependencia espacial en los residuos y en la</w:t>
      </w:r>
      <w:r>
        <w:rPr>
          <w:highlight w:val="white"/>
        </w:rPr>
        <w:t xml:space="preserve"> variable dependiente: </w:t>
      </w:r>
      <w:proofErr w:type="spellStart"/>
      <w:r>
        <w:rPr>
          <w:highlight w:val="white"/>
        </w:rPr>
        <w:t>Spatial</w:t>
      </w:r>
      <w:proofErr w:type="spellEnd"/>
      <w:r>
        <w:rPr>
          <w:highlight w:val="white"/>
        </w:rPr>
        <w:t xml:space="preserve"> </w:t>
      </w:r>
      <w:proofErr w:type="spellStart"/>
      <w:r>
        <w:rPr>
          <w:highlight w:val="white"/>
        </w:rPr>
        <w:t>Autorregresive</w:t>
      </w:r>
      <w:proofErr w:type="spellEnd"/>
      <w:r>
        <w:rPr>
          <w:highlight w:val="white"/>
        </w:rPr>
        <w:t xml:space="preserve"> </w:t>
      </w:r>
      <w:proofErr w:type="spellStart"/>
      <w:r>
        <w:rPr>
          <w:highlight w:val="white"/>
        </w:rPr>
        <w:t>Confused</w:t>
      </w:r>
      <w:proofErr w:type="spellEnd"/>
      <w:r>
        <w:rPr>
          <w:highlight w:val="white"/>
        </w:rPr>
        <w:t xml:space="preserve"> (SAC).</w:t>
      </w:r>
    </w:p>
    <w:p w14:paraId="65C9AD9E" w14:textId="77777777" w:rsidR="004034C6" w:rsidRDefault="004034C6">
      <w:pPr>
        <w:spacing w:line="240" w:lineRule="auto"/>
        <w:jc w:val="both"/>
        <w:rPr>
          <w:highlight w:val="white"/>
        </w:rPr>
      </w:pPr>
    </w:p>
    <w:p w14:paraId="051664AA" w14:textId="77777777" w:rsidR="004034C6" w:rsidRDefault="006C59F2">
      <w:pPr>
        <w:spacing w:line="240" w:lineRule="auto"/>
        <w:jc w:val="both"/>
        <w:rPr>
          <w:highlight w:val="white"/>
        </w:rPr>
      </w:pPr>
      <w:r>
        <w:rPr>
          <w:highlight w:val="white"/>
        </w:rPr>
        <w:t xml:space="preserve">Siempre que se considere que la variable dependiente como </w:t>
      </w:r>
      <w:proofErr w:type="spellStart"/>
      <w:r>
        <w:rPr>
          <w:highlight w:val="white"/>
        </w:rPr>
        <w:t>autocorrelacionada</w:t>
      </w:r>
      <w:proofErr w:type="spellEnd"/>
      <w:r>
        <w:rPr>
          <w:highlight w:val="white"/>
        </w:rPr>
        <w:t xml:space="preserve"> espacialmente, es necesario considerar los efectos derrame sobre los efectos estimados en la regresión (Herrera </w:t>
      </w:r>
      <w:proofErr w:type="spellStart"/>
      <w:r>
        <w:rPr>
          <w:highlight w:val="white"/>
        </w:rPr>
        <w:t>Gomez</w:t>
      </w:r>
      <w:proofErr w:type="spellEnd"/>
      <w:r>
        <w:rPr>
          <w:highlight w:val="white"/>
        </w:rPr>
        <w:t xml:space="preserve">, 2015). A </w:t>
      </w:r>
      <w:proofErr w:type="gramStart"/>
      <w:r>
        <w:rPr>
          <w:highlight w:val="white"/>
        </w:rPr>
        <w:t>continuación</w:t>
      </w:r>
      <w:proofErr w:type="gramEnd"/>
      <w:r>
        <w:rPr>
          <w:highlight w:val="white"/>
        </w:rPr>
        <w:t xml:space="preserve"> se presenta una tabla con los efectos totales de las variables que fueron significativas en el modelo. </w:t>
      </w:r>
    </w:p>
    <w:p w14:paraId="47206E34" w14:textId="77777777" w:rsidR="004034C6" w:rsidRDefault="006C59F2">
      <w:pPr>
        <w:spacing w:line="240" w:lineRule="auto"/>
        <w:jc w:val="center"/>
        <w:rPr>
          <w:sz w:val="18"/>
          <w:szCs w:val="18"/>
        </w:rPr>
      </w:pPr>
      <w:r>
        <w:rPr>
          <w:sz w:val="18"/>
          <w:szCs w:val="18"/>
        </w:rPr>
        <w:t>Tabla 4. Coeficientes</w:t>
      </w:r>
    </w:p>
    <w:tbl>
      <w:tblPr>
        <w:tblStyle w:val="a2"/>
        <w:tblW w:w="6288"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090"/>
        <w:gridCol w:w="1500"/>
        <w:gridCol w:w="1698"/>
      </w:tblGrid>
      <w:tr w:rsidR="004034C6" w14:paraId="17C744F6" w14:textId="77777777">
        <w:trPr>
          <w:jc w:val="center"/>
        </w:trPr>
        <w:tc>
          <w:tcPr>
            <w:tcW w:w="3090" w:type="dxa"/>
            <w:tcBorders>
              <w:top w:val="single" w:sz="8" w:space="0" w:color="333333"/>
              <w:left w:val="nil"/>
              <w:bottom w:val="single" w:sz="12" w:space="0" w:color="000000"/>
              <w:right w:val="nil"/>
            </w:tcBorders>
            <w:tcMar>
              <w:top w:w="17" w:type="dxa"/>
              <w:left w:w="17" w:type="dxa"/>
              <w:bottom w:w="17" w:type="dxa"/>
              <w:right w:w="17" w:type="dxa"/>
            </w:tcMar>
            <w:vAlign w:val="center"/>
          </w:tcPr>
          <w:p w14:paraId="42308D51" w14:textId="77777777" w:rsidR="004034C6" w:rsidRDefault="006C59F2">
            <w:pPr>
              <w:spacing w:line="240" w:lineRule="auto"/>
              <w:rPr>
                <w:color w:val="333333"/>
                <w:sz w:val="18"/>
                <w:szCs w:val="18"/>
              </w:rPr>
            </w:pPr>
            <w:r>
              <w:rPr>
                <w:b/>
                <w:color w:val="333333"/>
                <w:sz w:val="18"/>
                <w:szCs w:val="18"/>
              </w:rPr>
              <w:t>Variable</w:t>
            </w:r>
          </w:p>
        </w:tc>
        <w:tc>
          <w:tcPr>
            <w:tcW w:w="1500" w:type="dxa"/>
            <w:tcBorders>
              <w:top w:val="single" w:sz="8" w:space="0" w:color="333333"/>
              <w:left w:val="nil"/>
              <w:bottom w:val="single" w:sz="12" w:space="0" w:color="000000"/>
              <w:right w:val="nil"/>
            </w:tcBorders>
            <w:tcMar>
              <w:top w:w="17" w:type="dxa"/>
              <w:left w:w="17" w:type="dxa"/>
              <w:bottom w:w="17" w:type="dxa"/>
              <w:right w:w="17" w:type="dxa"/>
            </w:tcMar>
            <w:vAlign w:val="center"/>
          </w:tcPr>
          <w:p w14:paraId="5BAA40C1" w14:textId="77777777" w:rsidR="004034C6" w:rsidRDefault="006C59F2">
            <w:pPr>
              <w:spacing w:line="240" w:lineRule="auto"/>
              <w:jc w:val="center"/>
              <w:rPr>
                <w:color w:val="333333"/>
                <w:sz w:val="18"/>
                <w:szCs w:val="18"/>
              </w:rPr>
            </w:pPr>
            <w:r>
              <w:rPr>
                <w:b/>
                <w:color w:val="333333"/>
                <w:sz w:val="18"/>
                <w:szCs w:val="18"/>
              </w:rPr>
              <w:t>Coeficiente</w:t>
            </w:r>
          </w:p>
        </w:tc>
        <w:tc>
          <w:tcPr>
            <w:tcW w:w="1698" w:type="dxa"/>
            <w:tcBorders>
              <w:top w:val="single" w:sz="8" w:space="0" w:color="333333"/>
              <w:left w:val="nil"/>
              <w:bottom w:val="single" w:sz="12" w:space="0" w:color="000000"/>
              <w:right w:val="nil"/>
            </w:tcBorders>
            <w:tcMar>
              <w:top w:w="17" w:type="dxa"/>
              <w:left w:w="17" w:type="dxa"/>
              <w:bottom w:w="17" w:type="dxa"/>
              <w:right w:w="17" w:type="dxa"/>
            </w:tcMar>
            <w:vAlign w:val="center"/>
          </w:tcPr>
          <w:p w14:paraId="2D830E45" w14:textId="77777777" w:rsidR="004034C6" w:rsidRDefault="006C59F2">
            <w:pPr>
              <w:spacing w:line="240" w:lineRule="auto"/>
              <w:jc w:val="center"/>
              <w:rPr>
                <w:color w:val="333333"/>
                <w:sz w:val="18"/>
                <w:szCs w:val="18"/>
              </w:rPr>
            </w:pPr>
            <w:r>
              <w:rPr>
                <w:b/>
                <w:color w:val="333333"/>
                <w:sz w:val="18"/>
                <w:szCs w:val="18"/>
              </w:rPr>
              <w:t>P valor</w:t>
            </w:r>
          </w:p>
        </w:tc>
      </w:tr>
      <w:tr w:rsidR="004034C6" w14:paraId="1C36AA83" w14:textId="77777777">
        <w:trPr>
          <w:jc w:val="center"/>
        </w:trPr>
        <w:tc>
          <w:tcPr>
            <w:tcW w:w="3090" w:type="dxa"/>
            <w:tcBorders>
              <w:top w:val="single" w:sz="12" w:space="0" w:color="000000"/>
              <w:left w:val="nil"/>
              <w:bottom w:val="single" w:sz="8" w:space="0" w:color="666666"/>
              <w:right w:val="nil"/>
            </w:tcBorders>
            <w:tcMar>
              <w:top w:w="17" w:type="dxa"/>
              <w:left w:w="17" w:type="dxa"/>
              <w:bottom w:w="17" w:type="dxa"/>
              <w:right w:w="17" w:type="dxa"/>
            </w:tcMar>
            <w:vAlign w:val="center"/>
          </w:tcPr>
          <w:p w14:paraId="52AD4751" w14:textId="77777777" w:rsidR="004034C6" w:rsidRDefault="006C59F2">
            <w:pPr>
              <w:spacing w:line="240" w:lineRule="auto"/>
              <w:rPr>
                <w:color w:val="333333"/>
                <w:sz w:val="18"/>
                <w:szCs w:val="18"/>
              </w:rPr>
            </w:pPr>
            <w:proofErr w:type="spellStart"/>
            <w:r>
              <w:rPr>
                <w:color w:val="333333"/>
                <w:sz w:val="18"/>
                <w:szCs w:val="18"/>
              </w:rPr>
              <w:t>ln</w:t>
            </w:r>
            <w:proofErr w:type="spellEnd"/>
            <w:r>
              <w:rPr>
                <w:color w:val="333333"/>
                <w:sz w:val="18"/>
                <w:szCs w:val="18"/>
              </w:rPr>
              <w:t>(</w:t>
            </w:r>
            <w:r>
              <w:rPr>
                <w:color w:val="333333"/>
                <w:sz w:val="18"/>
                <w:szCs w:val="18"/>
                <w:highlight w:val="white"/>
              </w:rPr>
              <w:t>superficie edificada</w:t>
            </w:r>
            <w:r>
              <w:rPr>
                <w:color w:val="333333"/>
                <w:sz w:val="18"/>
                <w:szCs w:val="18"/>
              </w:rPr>
              <w:t>)</w:t>
            </w:r>
          </w:p>
        </w:tc>
        <w:tc>
          <w:tcPr>
            <w:tcW w:w="1500" w:type="dxa"/>
            <w:tcBorders>
              <w:top w:val="single" w:sz="12" w:space="0" w:color="000000"/>
              <w:left w:val="nil"/>
              <w:bottom w:val="single" w:sz="8" w:space="0" w:color="666666"/>
              <w:right w:val="nil"/>
            </w:tcBorders>
            <w:tcMar>
              <w:top w:w="17" w:type="dxa"/>
              <w:left w:w="17" w:type="dxa"/>
              <w:bottom w:w="17" w:type="dxa"/>
              <w:right w:w="17" w:type="dxa"/>
            </w:tcMar>
            <w:vAlign w:val="center"/>
          </w:tcPr>
          <w:p w14:paraId="5C95BFDF" w14:textId="77777777" w:rsidR="004034C6" w:rsidRDefault="006C59F2">
            <w:pPr>
              <w:spacing w:line="240" w:lineRule="auto"/>
              <w:jc w:val="center"/>
              <w:rPr>
                <w:color w:val="333333"/>
                <w:sz w:val="18"/>
                <w:szCs w:val="18"/>
              </w:rPr>
            </w:pPr>
            <w:r>
              <w:rPr>
                <w:color w:val="333333"/>
                <w:sz w:val="18"/>
                <w:szCs w:val="18"/>
              </w:rPr>
              <w:t>-0,2534819</w:t>
            </w:r>
          </w:p>
        </w:tc>
        <w:tc>
          <w:tcPr>
            <w:tcW w:w="1698" w:type="dxa"/>
            <w:tcBorders>
              <w:top w:val="single" w:sz="12" w:space="0" w:color="000000"/>
              <w:left w:val="nil"/>
              <w:bottom w:val="single" w:sz="8" w:space="0" w:color="666666"/>
              <w:right w:val="nil"/>
            </w:tcBorders>
            <w:tcMar>
              <w:top w:w="17" w:type="dxa"/>
              <w:left w:w="17" w:type="dxa"/>
              <w:bottom w:w="17" w:type="dxa"/>
              <w:right w:w="17" w:type="dxa"/>
            </w:tcMar>
            <w:vAlign w:val="center"/>
          </w:tcPr>
          <w:p w14:paraId="77EEB8DB" w14:textId="77777777" w:rsidR="004034C6" w:rsidRDefault="006C59F2">
            <w:pPr>
              <w:spacing w:line="240" w:lineRule="auto"/>
              <w:jc w:val="center"/>
              <w:rPr>
                <w:color w:val="333333"/>
                <w:sz w:val="18"/>
                <w:szCs w:val="18"/>
              </w:rPr>
            </w:pPr>
            <w:r>
              <w:rPr>
                <w:color w:val="333333"/>
                <w:sz w:val="18"/>
                <w:szCs w:val="18"/>
              </w:rPr>
              <w:t>0,0000000</w:t>
            </w:r>
          </w:p>
        </w:tc>
      </w:tr>
      <w:tr w:rsidR="004034C6" w14:paraId="4EB715CA" w14:textId="77777777">
        <w:trPr>
          <w:jc w:val="center"/>
        </w:trPr>
        <w:tc>
          <w:tcPr>
            <w:tcW w:w="3090"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78382E4A" w14:textId="77777777" w:rsidR="004034C6" w:rsidRDefault="006C59F2">
            <w:pPr>
              <w:spacing w:line="240" w:lineRule="auto"/>
              <w:rPr>
                <w:color w:val="333333"/>
                <w:sz w:val="18"/>
                <w:szCs w:val="18"/>
              </w:rPr>
            </w:pPr>
            <w:r>
              <w:rPr>
                <w:color w:val="333333"/>
                <w:sz w:val="18"/>
                <w:szCs w:val="18"/>
              </w:rPr>
              <w:t>ubicación cuadra 1</w:t>
            </w:r>
          </w:p>
        </w:tc>
        <w:tc>
          <w:tcPr>
            <w:tcW w:w="1500"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1E54D0C2" w14:textId="77777777" w:rsidR="004034C6" w:rsidRDefault="006C59F2">
            <w:pPr>
              <w:spacing w:line="240" w:lineRule="auto"/>
              <w:jc w:val="center"/>
              <w:rPr>
                <w:color w:val="333333"/>
                <w:sz w:val="18"/>
                <w:szCs w:val="18"/>
              </w:rPr>
            </w:pPr>
            <w:r>
              <w:rPr>
                <w:color w:val="333333"/>
                <w:sz w:val="18"/>
                <w:szCs w:val="18"/>
              </w:rPr>
              <w:t>0,0430221</w:t>
            </w:r>
          </w:p>
        </w:tc>
        <w:tc>
          <w:tcPr>
            <w:tcW w:w="1698"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36D97054" w14:textId="77777777" w:rsidR="004034C6" w:rsidRDefault="006C59F2">
            <w:pPr>
              <w:spacing w:line="240" w:lineRule="auto"/>
              <w:jc w:val="center"/>
              <w:rPr>
                <w:color w:val="333333"/>
                <w:sz w:val="18"/>
                <w:szCs w:val="18"/>
              </w:rPr>
            </w:pPr>
            <w:r>
              <w:rPr>
                <w:color w:val="333333"/>
                <w:sz w:val="18"/>
                <w:szCs w:val="18"/>
              </w:rPr>
              <w:t>0,0000317</w:t>
            </w:r>
          </w:p>
        </w:tc>
      </w:tr>
      <w:tr w:rsidR="004034C6" w14:paraId="2C23B6F7" w14:textId="77777777">
        <w:trPr>
          <w:jc w:val="center"/>
        </w:trPr>
        <w:tc>
          <w:tcPr>
            <w:tcW w:w="3090"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60CBC6F7" w14:textId="77777777" w:rsidR="004034C6" w:rsidRDefault="006C59F2">
            <w:pPr>
              <w:spacing w:line="240" w:lineRule="auto"/>
              <w:rPr>
                <w:color w:val="333333"/>
                <w:sz w:val="18"/>
                <w:szCs w:val="18"/>
              </w:rPr>
            </w:pPr>
            <w:r>
              <w:rPr>
                <w:color w:val="333333"/>
                <w:sz w:val="18"/>
                <w:szCs w:val="18"/>
              </w:rPr>
              <w:t>tipología C</w:t>
            </w:r>
          </w:p>
        </w:tc>
        <w:tc>
          <w:tcPr>
            <w:tcW w:w="1500"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049CD0BE" w14:textId="77777777" w:rsidR="004034C6" w:rsidRDefault="006C59F2">
            <w:pPr>
              <w:spacing w:line="240" w:lineRule="auto"/>
              <w:jc w:val="center"/>
              <w:rPr>
                <w:color w:val="333333"/>
                <w:sz w:val="18"/>
                <w:szCs w:val="18"/>
              </w:rPr>
            </w:pPr>
            <w:r>
              <w:rPr>
                <w:color w:val="333333"/>
                <w:sz w:val="18"/>
                <w:szCs w:val="18"/>
              </w:rPr>
              <w:t>0,4414448</w:t>
            </w:r>
          </w:p>
        </w:tc>
        <w:tc>
          <w:tcPr>
            <w:tcW w:w="1698"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0F00C8CA" w14:textId="77777777" w:rsidR="004034C6" w:rsidRDefault="006C59F2">
            <w:pPr>
              <w:spacing w:line="240" w:lineRule="auto"/>
              <w:jc w:val="center"/>
              <w:rPr>
                <w:color w:val="333333"/>
                <w:sz w:val="18"/>
                <w:szCs w:val="18"/>
              </w:rPr>
            </w:pPr>
            <w:r>
              <w:rPr>
                <w:color w:val="333333"/>
                <w:sz w:val="18"/>
                <w:szCs w:val="18"/>
              </w:rPr>
              <w:t>0,0000000</w:t>
            </w:r>
          </w:p>
        </w:tc>
      </w:tr>
      <w:tr w:rsidR="004034C6" w14:paraId="4BFB5429" w14:textId="77777777">
        <w:trPr>
          <w:jc w:val="center"/>
        </w:trPr>
        <w:tc>
          <w:tcPr>
            <w:tcW w:w="3090"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712EE371" w14:textId="77777777" w:rsidR="004034C6" w:rsidRDefault="006C59F2">
            <w:pPr>
              <w:spacing w:line="240" w:lineRule="auto"/>
              <w:rPr>
                <w:color w:val="333333"/>
                <w:sz w:val="18"/>
                <w:szCs w:val="18"/>
              </w:rPr>
            </w:pPr>
            <w:r>
              <w:rPr>
                <w:color w:val="333333"/>
                <w:sz w:val="18"/>
                <w:szCs w:val="18"/>
              </w:rPr>
              <w:t>tipología O</w:t>
            </w:r>
          </w:p>
        </w:tc>
        <w:tc>
          <w:tcPr>
            <w:tcW w:w="1500"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2ED84B5B" w14:textId="77777777" w:rsidR="004034C6" w:rsidRDefault="006C59F2">
            <w:pPr>
              <w:spacing w:line="240" w:lineRule="auto"/>
              <w:jc w:val="center"/>
              <w:rPr>
                <w:color w:val="333333"/>
                <w:sz w:val="18"/>
                <w:szCs w:val="18"/>
              </w:rPr>
            </w:pPr>
            <w:r>
              <w:rPr>
                <w:color w:val="333333"/>
                <w:sz w:val="18"/>
                <w:szCs w:val="18"/>
              </w:rPr>
              <w:t>0,1833206</w:t>
            </w:r>
          </w:p>
        </w:tc>
        <w:tc>
          <w:tcPr>
            <w:tcW w:w="1698"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3ACFABB7" w14:textId="77777777" w:rsidR="004034C6" w:rsidRDefault="006C59F2">
            <w:pPr>
              <w:spacing w:line="240" w:lineRule="auto"/>
              <w:jc w:val="center"/>
              <w:rPr>
                <w:color w:val="333333"/>
                <w:sz w:val="18"/>
                <w:szCs w:val="18"/>
              </w:rPr>
            </w:pPr>
            <w:r>
              <w:rPr>
                <w:color w:val="333333"/>
                <w:sz w:val="18"/>
                <w:szCs w:val="18"/>
              </w:rPr>
              <w:t>0,0000000</w:t>
            </w:r>
          </w:p>
        </w:tc>
      </w:tr>
      <w:tr w:rsidR="004034C6" w14:paraId="63B55D24" w14:textId="77777777">
        <w:trPr>
          <w:jc w:val="center"/>
        </w:trPr>
        <w:tc>
          <w:tcPr>
            <w:tcW w:w="3090"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03D88A15" w14:textId="77777777" w:rsidR="004034C6" w:rsidRDefault="006C59F2">
            <w:pPr>
              <w:spacing w:line="240" w:lineRule="auto"/>
              <w:rPr>
                <w:color w:val="333333"/>
                <w:sz w:val="18"/>
                <w:szCs w:val="18"/>
              </w:rPr>
            </w:pPr>
            <w:r>
              <w:rPr>
                <w:color w:val="333333"/>
                <w:sz w:val="18"/>
                <w:szCs w:val="18"/>
              </w:rPr>
              <w:t>tipología  V</w:t>
            </w:r>
          </w:p>
        </w:tc>
        <w:tc>
          <w:tcPr>
            <w:tcW w:w="1500"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2535EB4C" w14:textId="77777777" w:rsidR="004034C6" w:rsidRDefault="006C59F2">
            <w:pPr>
              <w:spacing w:line="240" w:lineRule="auto"/>
              <w:jc w:val="center"/>
              <w:rPr>
                <w:color w:val="333333"/>
                <w:sz w:val="18"/>
                <w:szCs w:val="18"/>
              </w:rPr>
            </w:pPr>
            <w:r>
              <w:rPr>
                <w:color w:val="333333"/>
                <w:sz w:val="18"/>
                <w:szCs w:val="18"/>
              </w:rPr>
              <w:t>-0,1286094</w:t>
            </w:r>
          </w:p>
        </w:tc>
        <w:tc>
          <w:tcPr>
            <w:tcW w:w="1698"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209087C5" w14:textId="77777777" w:rsidR="004034C6" w:rsidRDefault="006C59F2">
            <w:pPr>
              <w:spacing w:line="240" w:lineRule="auto"/>
              <w:jc w:val="center"/>
              <w:rPr>
                <w:color w:val="333333"/>
                <w:sz w:val="18"/>
                <w:szCs w:val="18"/>
              </w:rPr>
            </w:pPr>
            <w:r>
              <w:rPr>
                <w:color w:val="333333"/>
                <w:sz w:val="18"/>
                <w:szCs w:val="18"/>
              </w:rPr>
              <w:t>0,0125240</w:t>
            </w:r>
          </w:p>
        </w:tc>
      </w:tr>
      <w:tr w:rsidR="004034C6" w14:paraId="310B1D4B" w14:textId="77777777">
        <w:trPr>
          <w:jc w:val="center"/>
        </w:trPr>
        <w:tc>
          <w:tcPr>
            <w:tcW w:w="3090"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3FC32058" w14:textId="77777777" w:rsidR="004034C6" w:rsidRDefault="006C59F2">
            <w:pPr>
              <w:spacing w:line="240" w:lineRule="auto"/>
              <w:rPr>
                <w:color w:val="333333"/>
                <w:sz w:val="18"/>
                <w:szCs w:val="18"/>
              </w:rPr>
            </w:pPr>
            <w:r>
              <w:rPr>
                <w:color w:val="333333"/>
                <w:sz w:val="18"/>
                <w:szCs w:val="18"/>
              </w:rPr>
              <w:t>categoría constructiva 0</w:t>
            </w:r>
          </w:p>
        </w:tc>
        <w:tc>
          <w:tcPr>
            <w:tcW w:w="1500"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3BBCA9E2" w14:textId="77777777" w:rsidR="004034C6" w:rsidRDefault="006C59F2">
            <w:pPr>
              <w:spacing w:line="240" w:lineRule="auto"/>
              <w:jc w:val="center"/>
              <w:rPr>
                <w:color w:val="333333"/>
                <w:sz w:val="18"/>
                <w:szCs w:val="18"/>
              </w:rPr>
            </w:pPr>
            <w:r>
              <w:rPr>
                <w:color w:val="333333"/>
                <w:sz w:val="18"/>
                <w:szCs w:val="18"/>
              </w:rPr>
              <w:t>-0,2296525</w:t>
            </w:r>
          </w:p>
        </w:tc>
        <w:tc>
          <w:tcPr>
            <w:tcW w:w="1698"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4FCE1BBE" w14:textId="77777777" w:rsidR="004034C6" w:rsidRDefault="006C59F2">
            <w:pPr>
              <w:spacing w:line="240" w:lineRule="auto"/>
              <w:jc w:val="center"/>
              <w:rPr>
                <w:color w:val="333333"/>
                <w:sz w:val="18"/>
                <w:szCs w:val="18"/>
              </w:rPr>
            </w:pPr>
            <w:r>
              <w:rPr>
                <w:color w:val="333333"/>
                <w:sz w:val="18"/>
                <w:szCs w:val="18"/>
              </w:rPr>
              <w:t>0,0000000</w:t>
            </w:r>
          </w:p>
        </w:tc>
      </w:tr>
      <w:tr w:rsidR="004034C6" w14:paraId="72D78D9D" w14:textId="77777777">
        <w:trPr>
          <w:jc w:val="center"/>
        </w:trPr>
        <w:tc>
          <w:tcPr>
            <w:tcW w:w="3090"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126F94D9" w14:textId="77777777" w:rsidR="004034C6" w:rsidRDefault="006C59F2">
            <w:pPr>
              <w:spacing w:line="240" w:lineRule="auto"/>
              <w:rPr>
                <w:color w:val="333333"/>
                <w:sz w:val="18"/>
                <w:szCs w:val="18"/>
              </w:rPr>
            </w:pPr>
            <w:r>
              <w:rPr>
                <w:color w:val="333333"/>
                <w:sz w:val="18"/>
                <w:szCs w:val="18"/>
              </w:rPr>
              <w:t>categoría constructiva 2</w:t>
            </w:r>
          </w:p>
        </w:tc>
        <w:tc>
          <w:tcPr>
            <w:tcW w:w="1500"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5DAE1110" w14:textId="77777777" w:rsidR="004034C6" w:rsidRDefault="006C59F2">
            <w:pPr>
              <w:spacing w:line="240" w:lineRule="auto"/>
              <w:jc w:val="center"/>
              <w:rPr>
                <w:color w:val="333333"/>
                <w:sz w:val="18"/>
                <w:szCs w:val="18"/>
              </w:rPr>
            </w:pPr>
            <w:r>
              <w:rPr>
                <w:color w:val="333333"/>
                <w:sz w:val="18"/>
                <w:szCs w:val="18"/>
              </w:rPr>
              <w:t>0,1592872</w:t>
            </w:r>
          </w:p>
        </w:tc>
        <w:tc>
          <w:tcPr>
            <w:tcW w:w="1698"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79D1708B" w14:textId="77777777" w:rsidR="004034C6" w:rsidRDefault="006C59F2">
            <w:pPr>
              <w:spacing w:line="240" w:lineRule="auto"/>
              <w:jc w:val="center"/>
              <w:rPr>
                <w:color w:val="333333"/>
                <w:sz w:val="18"/>
                <w:szCs w:val="18"/>
              </w:rPr>
            </w:pPr>
            <w:r>
              <w:rPr>
                <w:color w:val="333333"/>
                <w:sz w:val="18"/>
                <w:szCs w:val="18"/>
              </w:rPr>
              <w:t>0,0000000</w:t>
            </w:r>
          </w:p>
        </w:tc>
      </w:tr>
      <w:tr w:rsidR="004034C6" w14:paraId="5A2ED10A" w14:textId="77777777">
        <w:trPr>
          <w:jc w:val="center"/>
        </w:trPr>
        <w:tc>
          <w:tcPr>
            <w:tcW w:w="3090"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5260A975" w14:textId="77777777" w:rsidR="004034C6" w:rsidRDefault="006C59F2">
            <w:pPr>
              <w:spacing w:line="240" w:lineRule="auto"/>
              <w:rPr>
                <w:color w:val="333333"/>
                <w:sz w:val="18"/>
                <w:szCs w:val="18"/>
              </w:rPr>
            </w:pPr>
            <w:r>
              <w:rPr>
                <w:color w:val="333333"/>
                <w:sz w:val="18"/>
                <w:szCs w:val="18"/>
              </w:rPr>
              <w:t>categoría constructiva 3</w:t>
            </w:r>
          </w:p>
        </w:tc>
        <w:tc>
          <w:tcPr>
            <w:tcW w:w="1500"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6151DD38" w14:textId="77777777" w:rsidR="004034C6" w:rsidRDefault="006C59F2">
            <w:pPr>
              <w:spacing w:line="240" w:lineRule="auto"/>
              <w:jc w:val="center"/>
              <w:rPr>
                <w:color w:val="333333"/>
                <w:sz w:val="18"/>
                <w:szCs w:val="18"/>
              </w:rPr>
            </w:pPr>
            <w:r>
              <w:rPr>
                <w:color w:val="333333"/>
                <w:sz w:val="18"/>
                <w:szCs w:val="18"/>
              </w:rPr>
              <w:t>0,3713066</w:t>
            </w:r>
          </w:p>
        </w:tc>
        <w:tc>
          <w:tcPr>
            <w:tcW w:w="1698"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1CA0A6E1" w14:textId="77777777" w:rsidR="004034C6" w:rsidRDefault="006C59F2">
            <w:pPr>
              <w:spacing w:line="240" w:lineRule="auto"/>
              <w:jc w:val="center"/>
              <w:rPr>
                <w:color w:val="333333"/>
                <w:sz w:val="18"/>
                <w:szCs w:val="18"/>
              </w:rPr>
            </w:pPr>
            <w:r>
              <w:rPr>
                <w:color w:val="333333"/>
                <w:sz w:val="18"/>
                <w:szCs w:val="18"/>
              </w:rPr>
              <w:t>0,0000000</w:t>
            </w:r>
          </w:p>
        </w:tc>
      </w:tr>
      <w:tr w:rsidR="004034C6" w14:paraId="332A2CF1" w14:textId="77777777">
        <w:trPr>
          <w:jc w:val="center"/>
        </w:trPr>
        <w:tc>
          <w:tcPr>
            <w:tcW w:w="3090"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51165B87" w14:textId="77777777" w:rsidR="004034C6" w:rsidRDefault="006C59F2">
            <w:pPr>
              <w:spacing w:line="240" w:lineRule="auto"/>
              <w:rPr>
                <w:color w:val="333333"/>
                <w:sz w:val="18"/>
                <w:szCs w:val="18"/>
              </w:rPr>
            </w:pPr>
            <w:r>
              <w:rPr>
                <w:color w:val="333333"/>
                <w:sz w:val="18"/>
                <w:szCs w:val="18"/>
              </w:rPr>
              <w:t>antigüedad</w:t>
            </w:r>
          </w:p>
        </w:tc>
        <w:tc>
          <w:tcPr>
            <w:tcW w:w="1500"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61C21D49" w14:textId="77777777" w:rsidR="004034C6" w:rsidRDefault="006C59F2">
            <w:pPr>
              <w:spacing w:line="240" w:lineRule="auto"/>
              <w:jc w:val="center"/>
              <w:rPr>
                <w:color w:val="333333"/>
                <w:sz w:val="18"/>
                <w:szCs w:val="18"/>
              </w:rPr>
            </w:pPr>
            <w:r>
              <w:rPr>
                <w:color w:val="333333"/>
                <w:sz w:val="18"/>
                <w:szCs w:val="18"/>
              </w:rPr>
              <w:t>-0,0058902</w:t>
            </w:r>
          </w:p>
        </w:tc>
        <w:tc>
          <w:tcPr>
            <w:tcW w:w="1698"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6EEA7227" w14:textId="77777777" w:rsidR="004034C6" w:rsidRDefault="006C59F2">
            <w:pPr>
              <w:spacing w:line="240" w:lineRule="auto"/>
              <w:jc w:val="center"/>
              <w:rPr>
                <w:color w:val="333333"/>
                <w:sz w:val="18"/>
                <w:szCs w:val="18"/>
              </w:rPr>
            </w:pPr>
            <w:r>
              <w:rPr>
                <w:color w:val="333333"/>
                <w:sz w:val="18"/>
                <w:szCs w:val="18"/>
              </w:rPr>
              <w:t>0,0000000</w:t>
            </w:r>
          </w:p>
        </w:tc>
      </w:tr>
      <w:tr w:rsidR="004034C6" w14:paraId="65846BED" w14:textId="77777777">
        <w:trPr>
          <w:jc w:val="center"/>
        </w:trPr>
        <w:tc>
          <w:tcPr>
            <w:tcW w:w="3090"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740AED3E" w14:textId="77777777" w:rsidR="004034C6" w:rsidRDefault="006C59F2">
            <w:pPr>
              <w:spacing w:line="240" w:lineRule="auto"/>
              <w:rPr>
                <w:color w:val="333333"/>
                <w:sz w:val="18"/>
                <w:szCs w:val="18"/>
              </w:rPr>
            </w:pPr>
            <w:r>
              <w:rPr>
                <w:color w:val="333333"/>
                <w:sz w:val="18"/>
                <w:szCs w:val="18"/>
              </w:rPr>
              <w:t>antigüedad2</w:t>
            </w:r>
          </w:p>
        </w:tc>
        <w:tc>
          <w:tcPr>
            <w:tcW w:w="1500"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623C5F9A" w14:textId="77777777" w:rsidR="004034C6" w:rsidRDefault="006C59F2">
            <w:pPr>
              <w:spacing w:line="240" w:lineRule="auto"/>
              <w:jc w:val="center"/>
              <w:rPr>
                <w:color w:val="333333"/>
                <w:sz w:val="18"/>
                <w:szCs w:val="18"/>
              </w:rPr>
            </w:pPr>
            <w:r>
              <w:rPr>
                <w:color w:val="333333"/>
                <w:sz w:val="18"/>
                <w:szCs w:val="18"/>
              </w:rPr>
              <w:t>0,0000520</w:t>
            </w:r>
          </w:p>
        </w:tc>
        <w:tc>
          <w:tcPr>
            <w:tcW w:w="1698"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412C8F5B" w14:textId="77777777" w:rsidR="004034C6" w:rsidRDefault="006C59F2">
            <w:pPr>
              <w:spacing w:line="240" w:lineRule="auto"/>
              <w:jc w:val="center"/>
              <w:rPr>
                <w:color w:val="333333"/>
                <w:sz w:val="18"/>
                <w:szCs w:val="18"/>
              </w:rPr>
            </w:pPr>
            <w:r>
              <w:rPr>
                <w:color w:val="333333"/>
                <w:sz w:val="18"/>
                <w:szCs w:val="18"/>
              </w:rPr>
              <w:t>0,0000000</w:t>
            </w:r>
          </w:p>
        </w:tc>
      </w:tr>
      <w:tr w:rsidR="004034C6" w14:paraId="6AEC9CFD" w14:textId="77777777">
        <w:trPr>
          <w:jc w:val="center"/>
        </w:trPr>
        <w:tc>
          <w:tcPr>
            <w:tcW w:w="3090"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242D4315" w14:textId="77777777" w:rsidR="004034C6" w:rsidRDefault="006C59F2">
            <w:pPr>
              <w:spacing w:line="240" w:lineRule="auto"/>
              <w:rPr>
                <w:color w:val="333333"/>
                <w:sz w:val="18"/>
                <w:szCs w:val="18"/>
              </w:rPr>
            </w:pPr>
            <w:r>
              <w:rPr>
                <w:color w:val="333333"/>
                <w:sz w:val="18"/>
                <w:szCs w:val="18"/>
                <w:highlight w:val="white"/>
              </w:rPr>
              <w:t xml:space="preserve">estado de conservación </w:t>
            </w:r>
            <w:r>
              <w:rPr>
                <w:color w:val="333333"/>
                <w:sz w:val="18"/>
                <w:szCs w:val="18"/>
              </w:rPr>
              <w:t>3</w:t>
            </w:r>
          </w:p>
        </w:tc>
        <w:tc>
          <w:tcPr>
            <w:tcW w:w="1500"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77734A40" w14:textId="77777777" w:rsidR="004034C6" w:rsidRDefault="006C59F2">
            <w:pPr>
              <w:spacing w:line="240" w:lineRule="auto"/>
              <w:jc w:val="center"/>
              <w:rPr>
                <w:color w:val="333333"/>
                <w:sz w:val="18"/>
                <w:szCs w:val="18"/>
              </w:rPr>
            </w:pPr>
            <w:r>
              <w:rPr>
                <w:color w:val="333333"/>
                <w:sz w:val="18"/>
                <w:szCs w:val="18"/>
              </w:rPr>
              <w:t>0,0446166</w:t>
            </w:r>
          </w:p>
        </w:tc>
        <w:tc>
          <w:tcPr>
            <w:tcW w:w="1698" w:type="dxa"/>
            <w:tcBorders>
              <w:top w:val="single" w:sz="8" w:space="0" w:color="666666"/>
              <w:left w:val="nil"/>
              <w:bottom w:val="single" w:sz="8" w:space="0" w:color="666666"/>
              <w:right w:val="nil"/>
            </w:tcBorders>
            <w:tcMar>
              <w:top w:w="17" w:type="dxa"/>
              <w:left w:w="17" w:type="dxa"/>
              <w:bottom w:w="17" w:type="dxa"/>
              <w:right w:w="17" w:type="dxa"/>
            </w:tcMar>
            <w:vAlign w:val="center"/>
          </w:tcPr>
          <w:p w14:paraId="1CF48059" w14:textId="77777777" w:rsidR="004034C6" w:rsidRDefault="006C59F2">
            <w:pPr>
              <w:spacing w:line="240" w:lineRule="auto"/>
              <w:jc w:val="center"/>
              <w:rPr>
                <w:color w:val="333333"/>
                <w:sz w:val="18"/>
                <w:szCs w:val="18"/>
              </w:rPr>
            </w:pPr>
            <w:r>
              <w:rPr>
                <w:color w:val="333333"/>
                <w:sz w:val="18"/>
                <w:szCs w:val="18"/>
              </w:rPr>
              <w:t>0,0000009</w:t>
            </w:r>
          </w:p>
        </w:tc>
      </w:tr>
      <w:tr w:rsidR="004034C6" w14:paraId="1DA74BF1" w14:textId="77777777">
        <w:trPr>
          <w:jc w:val="center"/>
        </w:trPr>
        <w:tc>
          <w:tcPr>
            <w:tcW w:w="3090" w:type="dxa"/>
            <w:tcBorders>
              <w:top w:val="single" w:sz="8" w:space="0" w:color="666666"/>
              <w:left w:val="nil"/>
              <w:bottom w:val="single" w:sz="8" w:space="0" w:color="000000"/>
              <w:right w:val="nil"/>
            </w:tcBorders>
            <w:tcMar>
              <w:top w:w="17" w:type="dxa"/>
              <w:left w:w="17" w:type="dxa"/>
              <w:bottom w:w="17" w:type="dxa"/>
              <w:right w:w="17" w:type="dxa"/>
            </w:tcMar>
            <w:vAlign w:val="center"/>
          </w:tcPr>
          <w:p w14:paraId="124F7AC4" w14:textId="77777777" w:rsidR="004034C6" w:rsidRDefault="006C59F2">
            <w:pPr>
              <w:spacing w:line="240" w:lineRule="auto"/>
              <w:rPr>
                <w:color w:val="333333"/>
                <w:sz w:val="18"/>
                <w:szCs w:val="18"/>
              </w:rPr>
            </w:pPr>
            <w:r>
              <w:rPr>
                <w:color w:val="333333"/>
                <w:sz w:val="18"/>
                <w:szCs w:val="18"/>
              </w:rPr>
              <w:t>patio 3</w:t>
            </w:r>
          </w:p>
        </w:tc>
        <w:tc>
          <w:tcPr>
            <w:tcW w:w="1500" w:type="dxa"/>
            <w:tcBorders>
              <w:top w:val="single" w:sz="8" w:space="0" w:color="666666"/>
              <w:left w:val="nil"/>
              <w:bottom w:val="single" w:sz="8" w:space="0" w:color="000000"/>
              <w:right w:val="nil"/>
            </w:tcBorders>
            <w:tcMar>
              <w:top w:w="17" w:type="dxa"/>
              <w:left w:w="17" w:type="dxa"/>
              <w:bottom w:w="17" w:type="dxa"/>
              <w:right w:w="17" w:type="dxa"/>
            </w:tcMar>
            <w:vAlign w:val="center"/>
          </w:tcPr>
          <w:p w14:paraId="0E257790" w14:textId="77777777" w:rsidR="004034C6" w:rsidRDefault="006C59F2">
            <w:pPr>
              <w:spacing w:line="240" w:lineRule="auto"/>
              <w:jc w:val="center"/>
              <w:rPr>
                <w:color w:val="333333"/>
                <w:sz w:val="18"/>
                <w:szCs w:val="18"/>
              </w:rPr>
            </w:pPr>
            <w:r>
              <w:rPr>
                <w:color w:val="333333"/>
                <w:sz w:val="18"/>
                <w:szCs w:val="18"/>
              </w:rPr>
              <w:t>0,2062192</w:t>
            </w:r>
          </w:p>
        </w:tc>
        <w:tc>
          <w:tcPr>
            <w:tcW w:w="1698" w:type="dxa"/>
            <w:tcBorders>
              <w:top w:val="single" w:sz="8" w:space="0" w:color="666666"/>
              <w:left w:val="nil"/>
              <w:bottom w:val="single" w:sz="8" w:space="0" w:color="000000"/>
              <w:right w:val="nil"/>
            </w:tcBorders>
            <w:tcMar>
              <w:top w:w="17" w:type="dxa"/>
              <w:left w:w="17" w:type="dxa"/>
              <w:bottom w:w="17" w:type="dxa"/>
              <w:right w:w="17" w:type="dxa"/>
            </w:tcMar>
            <w:vAlign w:val="center"/>
          </w:tcPr>
          <w:p w14:paraId="4E68984B" w14:textId="77777777" w:rsidR="004034C6" w:rsidRDefault="006C59F2">
            <w:pPr>
              <w:spacing w:line="240" w:lineRule="auto"/>
              <w:jc w:val="center"/>
              <w:rPr>
                <w:color w:val="333333"/>
                <w:sz w:val="18"/>
                <w:szCs w:val="18"/>
              </w:rPr>
            </w:pPr>
            <w:r>
              <w:rPr>
                <w:color w:val="333333"/>
                <w:sz w:val="18"/>
                <w:szCs w:val="18"/>
              </w:rPr>
              <w:t>0,0000845</w:t>
            </w:r>
          </w:p>
        </w:tc>
      </w:tr>
    </w:tbl>
    <w:p w14:paraId="36191619" w14:textId="77777777" w:rsidR="004034C6" w:rsidRDefault="006C59F2">
      <w:pPr>
        <w:spacing w:line="240" w:lineRule="auto"/>
        <w:jc w:val="center"/>
      </w:pPr>
      <w:r>
        <w:rPr>
          <w:i/>
          <w:sz w:val="18"/>
          <w:szCs w:val="18"/>
        </w:rPr>
        <w:t>Fuente: Elaboración Propia</w:t>
      </w:r>
    </w:p>
    <w:p w14:paraId="7B7183BC" w14:textId="77777777" w:rsidR="004034C6" w:rsidRDefault="006C59F2">
      <w:pPr>
        <w:spacing w:line="240" w:lineRule="auto"/>
        <w:jc w:val="both"/>
      </w:pPr>
      <w:r>
        <w:t>Las medidas de bondad de ajuste del modelo fueron aceptables:</w:t>
      </w:r>
    </w:p>
    <w:p w14:paraId="4CD7CE83" w14:textId="77777777" w:rsidR="004034C6" w:rsidRDefault="006C59F2">
      <w:pPr>
        <w:numPr>
          <w:ilvl w:val="0"/>
          <w:numId w:val="4"/>
        </w:numPr>
        <w:spacing w:line="240" w:lineRule="auto"/>
        <w:jc w:val="both"/>
      </w:pPr>
      <w:r>
        <w:lastRenderedPageBreak/>
        <w:t>Tanto los parámetros de la autocorrelación espacial en la variable dependiente como en el error dieron estadísticamente significativos con un nivel de confianza del 99%.</w:t>
      </w:r>
    </w:p>
    <w:p w14:paraId="0E1A6450" w14:textId="77777777" w:rsidR="004034C6" w:rsidRDefault="006C59F2">
      <w:pPr>
        <w:numPr>
          <w:ilvl w:val="0"/>
          <w:numId w:val="4"/>
        </w:numPr>
        <w:spacing w:line="240" w:lineRule="auto"/>
        <w:jc w:val="both"/>
      </w:pPr>
      <w:r>
        <w:t>La medida de Akaike mejora cuando se pasa de un modelo lineal (sin incorporación de la dependencia espacial) a un SAC.</w:t>
      </w:r>
    </w:p>
    <w:p w14:paraId="25871A0B" w14:textId="77777777" w:rsidR="004034C6" w:rsidRDefault="006C59F2">
      <w:pPr>
        <w:numPr>
          <w:ilvl w:val="0"/>
          <w:numId w:val="4"/>
        </w:numPr>
        <w:spacing w:line="240" w:lineRule="auto"/>
        <w:jc w:val="both"/>
      </w:pPr>
      <w:r>
        <w:t xml:space="preserve">El estadístico </w:t>
      </w:r>
      <w:proofErr w:type="spellStart"/>
      <w:r>
        <w:t>Nagelkerke</w:t>
      </w:r>
      <w:proofErr w:type="spellEnd"/>
      <w:r>
        <w:t xml:space="preserve"> que simula un R cuadrado fue de 0.50289.</w:t>
      </w:r>
    </w:p>
    <w:p w14:paraId="4AFEEEB0" w14:textId="77777777" w:rsidR="004034C6" w:rsidRDefault="004034C6">
      <w:pPr>
        <w:spacing w:line="240" w:lineRule="auto"/>
        <w:jc w:val="both"/>
      </w:pPr>
    </w:p>
    <w:sectPr w:rsidR="004034C6">
      <w:headerReference w:type="default" r:id="rId28"/>
      <w:footerReference w:type="default" r:id="rId29"/>
      <w:pgSz w:w="11909" w:h="16834"/>
      <w:pgMar w:top="2834" w:right="1984" w:bottom="2834" w:left="198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FFE2B3" w14:textId="77777777" w:rsidR="006E55A3" w:rsidRDefault="006E55A3">
      <w:pPr>
        <w:spacing w:line="240" w:lineRule="auto"/>
      </w:pPr>
      <w:r>
        <w:separator/>
      </w:r>
    </w:p>
  </w:endnote>
  <w:endnote w:type="continuationSeparator" w:id="0">
    <w:p w14:paraId="205AEA67" w14:textId="77777777" w:rsidR="006E55A3" w:rsidRDefault="006E55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default"/>
  </w:font>
  <w:font w:name="Card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E0300" w14:textId="77777777" w:rsidR="004034C6" w:rsidRDefault="004034C6">
    <w:pPr>
      <w:spacing w:line="240" w:lineRule="auto"/>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F138E3" w14:textId="77777777" w:rsidR="006E55A3" w:rsidRDefault="006E55A3">
      <w:pPr>
        <w:spacing w:line="240" w:lineRule="auto"/>
      </w:pPr>
      <w:r>
        <w:separator/>
      </w:r>
    </w:p>
  </w:footnote>
  <w:footnote w:type="continuationSeparator" w:id="0">
    <w:p w14:paraId="1507C29D" w14:textId="77777777" w:rsidR="006E55A3" w:rsidRDefault="006E55A3">
      <w:pPr>
        <w:spacing w:line="240" w:lineRule="auto"/>
      </w:pPr>
      <w:r>
        <w:continuationSeparator/>
      </w:r>
    </w:p>
  </w:footnote>
  <w:footnote w:id="1">
    <w:p w14:paraId="0E4AB59C" w14:textId="77777777" w:rsidR="004034C6" w:rsidRDefault="006C59F2">
      <w:pPr>
        <w:spacing w:line="240" w:lineRule="auto"/>
        <w:jc w:val="both"/>
        <w:rPr>
          <w:sz w:val="20"/>
          <w:szCs w:val="20"/>
        </w:rPr>
      </w:pPr>
      <w:r>
        <w:rPr>
          <w:vertAlign w:val="superscript"/>
        </w:rPr>
        <w:footnoteRef/>
      </w:r>
      <w:r>
        <w:rPr>
          <w:sz w:val="20"/>
          <w:szCs w:val="20"/>
        </w:rPr>
        <w:t xml:space="preserve"> </w:t>
      </w:r>
      <w:r>
        <w:rPr>
          <w:sz w:val="18"/>
          <w:szCs w:val="18"/>
        </w:rPr>
        <w:t>El Observatorio del Mercado Inmobiliario (OMI) de la Provincia de Córdoba es una plataforma web donde se sistematizan datos georreferenciados del mercado inmobiliario, con el fin de analizar la evolución y dinámica de los precios de inmuebles urbanos y rurales, y dar soporte a diversos estudios territoriales en la provincia. Actualmente el OMI cuenta con más de 59.000 datos registrados; https://omi.mapascordoba.gob.ar</w:t>
      </w:r>
    </w:p>
  </w:footnote>
  <w:footnote w:id="2">
    <w:p w14:paraId="6325E8A1" w14:textId="77777777" w:rsidR="004034C6" w:rsidRDefault="006C59F2">
      <w:pPr>
        <w:spacing w:line="240" w:lineRule="auto"/>
        <w:rPr>
          <w:sz w:val="18"/>
          <w:szCs w:val="18"/>
        </w:rPr>
      </w:pPr>
      <w:r>
        <w:rPr>
          <w:vertAlign w:val="superscript"/>
        </w:rPr>
        <w:footnoteRef/>
      </w:r>
      <w:r>
        <w:rPr>
          <w:sz w:val="18"/>
          <w:szCs w:val="18"/>
        </w:rPr>
        <w:t xml:space="preserve"> Disponible para descarga en https://estadistica.cba.gov.ar</w:t>
      </w:r>
    </w:p>
  </w:footnote>
  <w:footnote w:id="3">
    <w:p w14:paraId="405A42DA" w14:textId="77777777" w:rsidR="004034C6" w:rsidRDefault="006C59F2">
      <w:pPr>
        <w:spacing w:line="240" w:lineRule="auto"/>
        <w:rPr>
          <w:rFonts w:ascii="Calibri" w:eastAsia="Calibri" w:hAnsi="Calibri" w:cs="Calibri"/>
          <w:sz w:val="18"/>
          <w:szCs w:val="18"/>
        </w:rPr>
      </w:pPr>
      <w:r>
        <w:rPr>
          <w:vertAlign w:val="superscript"/>
        </w:rPr>
        <w:footnoteRef/>
      </w:r>
      <w:r>
        <w:rPr>
          <w:sz w:val="18"/>
          <w:szCs w:val="18"/>
        </w:rPr>
        <w:t xml:space="preserve"> </w:t>
      </w:r>
      <w:proofErr w:type="spellStart"/>
      <w:r>
        <w:rPr>
          <w:sz w:val="18"/>
          <w:szCs w:val="18"/>
        </w:rPr>
        <w:t>Spatial</w:t>
      </w:r>
      <w:proofErr w:type="spellEnd"/>
      <w:r>
        <w:rPr>
          <w:sz w:val="18"/>
          <w:szCs w:val="18"/>
        </w:rPr>
        <w:t xml:space="preserve"> </w:t>
      </w:r>
      <w:proofErr w:type="spellStart"/>
      <w:r>
        <w:rPr>
          <w:sz w:val="18"/>
          <w:szCs w:val="18"/>
        </w:rPr>
        <w:t>Autoregressive</w:t>
      </w:r>
      <w:proofErr w:type="spellEnd"/>
      <w:r>
        <w:rPr>
          <w:sz w:val="18"/>
          <w:szCs w:val="18"/>
        </w:rPr>
        <w:t xml:space="preserve"> </w:t>
      </w:r>
      <w:proofErr w:type="spellStart"/>
      <w:r>
        <w:rPr>
          <w:sz w:val="18"/>
          <w:szCs w:val="18"/>
        </w:rPr>
        <w:t>Confused</w:t>
      </w:r>
      <w:proofErr w:type="spellEnd"/>
    </w:p>
  </w:footnote>
  <w:footnote w:id="4">
    <w:p w14:paraId="61C38148" w14:textId="77777777" w:rsidR="004034C6" w:rsidRDefault="006C59F2">
      <w:pPr>
        <w:spacing w:line="240" w:lineRule="auto"/>
        <w:rPr>
          <w:sz w:val="18"/>
          <w:szCs w:val="18"/>
        </w:rPr>
      </w:pPr>
      <w:r>
        <w:rPr>
          <w:vertAlign w:val="superscript"/>
        </w:rPr>
        <w:footnoteRef/>
      </w:r>
      <w:r>
        <w:rPr>
          <w:sz w:val="18"/>
          <w:szCs w:val="18"/>
        </w:rPr>
        <w:t xml:space="preserve"> Los resultados pueden observarse en el Anexo metodológico </w:t>
      </w:r>
    </w:p>
  </w:footnote>
  <w:footnote w:id="5">
    <w:p w14:paraId="24438A10" w14:textId="77777777" w:rsidR="004034C6" w:rsidRDefault="006C59F2">
      <w:pPr>
        <w:spacing w:line="240" w:lineRule="auto"/>
        <w:rPr>
          <w:sz w:val="18"/>
          <w:szCs w:val="18"/>
        </w:rPr>
      </w:pPr>
      <w:r>
        <w:rPr>
          <w:vertAlign w:val="superscript"/>
        </w:rPr>
        <w:footnoteRef/>
      </w:r>
      <w:r>
        <w:rPr>
          <w:sz w:val="20"/>
          <w:szCs w:val="20"/>
        </w:rPr>
        <w:t xml:space="preserve"> </w:t>
      </w:r>
      <w:r>
        <w:rPr>
          <w:sz w:val="18"/>
          <w:szCs w:val="18"/>
        </w:rPr>
        <w:t xml:space="preserve">Los valores unitarios de la </w:t>
      </w:r>
      <w:proofErr w:type="spellStart"/>
      <w:r>
        <w:rPr>
          <w:sz w:val="18"/>
          <w:szCs w:val="18"/>
        </w:rPr>
        <w:t>tierta</w:t>
      </w:r>
      <w:proofErr w:type="spellEnd"/>
      <w:r>
        <w:rPr>
          <w:sz w:val="18"/>
          <w:szCs w:val="18"/>
        </w:rPr>
        <w:t xml:space="preserve"> vigentes están disponible para descarga y visualización en https://gn-idecor.mapascordoba.gob.ar/maps/355/view</w:t>
      </w:r>
    </w:p>
  </w:footnote>
  <w:footnote w:id="6">
    <w:p w14:paraId="4E1458A9" w14:textId="77777777" w:rsidR="004034C6" w:rsidRDefault="006C59F2">
      <w:pPr>
        <w:spacing w:line="240" w:lineRule="auto"/>
        <w:rPr>
          <w:sz w:val="18"/>
          <w:szCs w:val="18"/>
        </w:rPr>
      </w:pPr>
      <w:r>
        <w:rPr>
          <w:vertAlign w:val="superscript"/>
        </w:rPr>
        <w:footnoteRef/>
      </w:r>
      <w:r>
        <w:rPr>
          <w:sz w:val="18"/>
          <w:szCs w:val="18"/>
        </w:rPr>
        <w:t xml:space="preserve"> La fragmentación urbana se puede consultar en https://gn-idecor.mapascordoba.gob.ar/maps/307/view</w:t>
      </w:r>
    </w:p>
  </w:footnote>
  <w:footnote w:id="7">
    <w:p w14:paraId="7D9A24DB" w14:textId="77777777" w:rsidR="004034C6" w:rsidRDefault="006C59F2">
      <w:pPr>
        <w:spacing w:line="240" w:lineRule="auto"/>
        <w:rPr>
          <w:sz w:val="18"/>
          <w:szCs w:val="18"/>
        </w:rPr>
      </w:pPr>
      <w:r>
        <w:rPr>
          <w:vertAlign w:val="superscript"/>
        </w:rPr>
        <w:footnoteRef/>
      </w:r>
      <w:r>
        <w:rPr>
          <w:sz w:val="18"/>
          <w:szCs w:val="18"/>
        </w:rPr>
        <w:t xml:space="preserve"> En materia de vialidad puede consultarse https://gn-idecor.mapascordoba.gob.ar/maps/336/view</w:t>
      </w:r>
    </w:p>
  </w:footnote>
  <w:footnote w:id="8">
    <w:p w14:paraId="1D84E11E" w14:textId="77777777" w:rsidR="004034C6" w:rsidRDefault="006C59F2">
      <w:pPr>
        <w:spacing w:line="240" w:lineRule="auto"/>
        <w:rPr>
          <w:sz w:val="20"/>
          <w:szCs w:val="20"/>
        </w:rPr>
      </w:pPr>
      <w:r>
        <w:rPr>
          <w:vertAlign w:val="superscript"/>
        </w:rPr>
        <w:footnoteRef/>
      </w:r>
      <w:r>
        <w:rPr>
          <w:sz w:val="18"/>
          <w:szCs w:val="18"/>
        </w:rPr>
        <w:t xml:space="preserve"> Cuerpos de agua consultarse en https://gn-idecor.mapascordoba.gob.ar/maps/295/view</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BD90C" w14:textId="77777777" w:rsidR="004034C6" w:rsidRDefault="004034C6"/>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F61ADE"/>
    <w:multiLevelType w:val="multilevel"/>
    <w:tmpl w:val="C924E7AE"/>
    <w:lvl w:ilvl="0">
      <w:start w:val="1"/>
      <w:numFmt w:val="decimal"/>
      <w:lvlText w:val="%1."/>
      <w:lvlJc w:val="left"/>
      <w:pPr>
        <w:ind w:left="283" w:hanging="283"/>
      </w:pPr>
      <w:rPr>
        <w:u w:val="none"/>
      </w:rPr>
    </w:lvl>
    <w:lvl w:ilvl="1">
      <w:start w:val="1"/>
      <w:numFmt w:val="upperLetter"/>
      <w:lvlText w:val="%2."/>
      <w:lvlJc w:val="left"/>
      <w:pPr>
        <w:ind w:left="1440" w:hanging="360"/>
      </w:pPr>
      <w:rPr>
        <w:rFonts w:ascii="Arial" w:eastAsia="Arial" w:hAnsi="Arial" w:cs="Arial"/>
        <w:b/>
        <w:sz w:val="22"/>
        <w:szCs w:val="22"/>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34C385F"/>
    <w:multiLevelType w:val="multilevel"/>
    <w:tmpl w:val="BC8E47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B880489"/>
    <w:multiLevelType w:val="multilevel"/>
    <w:tmpl w:val="6EAE799A"/>
    <w:lvl w:ilvl="0">
      <w:start w:val="1"/>
      <w:numFmt w:val="bullet"/>
      <w:lvlText w:val="●"/>
      <w:lvlJc w:val="left"/>
      <w:pPr>
        <w:ind w:left="720" w:hanging="360"/>
      </w:pPr>
      <w:rPr>
        <w:rFonts w:ascii="Helvetica Neue" w:eastAsia="Helvetica Neue" w:hAnsi="Helvetica Neue" w:cs="Helvetica Neue"/>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2943E8D"/>
    <w:multiLevelType w:val="multilevel"/>
    <w:tmpl w:val="C7382824"/>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4C6"/>
    <w:rsid w:val="000466C0"/>
    <w:rsid w:val="004034C6"/>
    <w:rsid w:val="00453EB4"/>
    <w:rsid w:val="00606F4A"/>
    <w:rsid w:val="006C59F2"/>
    <w:rsid w:val="006E55A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A0DBA"/>
  <w15:docId w15:val="{81A20424-8992-4F58-92EE-3CC2F2154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vaniacaffaratti@gmail.com" TargetMode="External"/><Relationship Id="rId13" Type="http://schemas.openxmlformats.org/officeDocument/2006/relationships/hyperlink" Target="mailto:mpiumetto@yahoo.com.ar" TargetMode="External"/><Relationship Id="rId18" Type="http://schemas.openxmlformats.org/officeDocument/2006/relationships/image" Target="media/image4.jpg"/><Relationship Id="rId26" Type="http://schemas.openxmlformats.org/officeDocument/2006/relationships/hyperlink" Target="https://www.openstreetmap.org/" TargetMode="Externa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mailto:rociomcerino@gmail.com" TargetMode="External"/><Relationship Id="rId12" Type="http://schemas.openxmlformats.org/officeDocument/2006/relationships/hyperlink" Target="mailto:nadia_llarrull@hotmail.com" TargetMode="External"/><Relationship Id="rId17" Type="http://schemas.openxmlformats.org/officeDocument/2006/relationships/image" Target="media/image3.jpg"/><Relationship Id="rId25" Type="http://schemas.openxmlformats.org/officeDocument/2006/relationships/hyperlink" Target="https://www.openstreetmap.org/"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rqzavala@gmail.com" TargetMode="External"/><Relationship Id="rId24" Type="http://schemas.openxmlformats.org/officeDocument/2006/relationships/hyperlink" Target="http://servicios.infoleg.gob.ar/infolegInternet/anexos/335000-339999/339378/norma.htm" TargetMode="Externa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s://www.mapascordoba.gob.ar" TargetMode="External"/><Relationship Id="rId28" Type="http://schemas.openxmlformats.org/officeDocument/2006/relationships/header" Target="header1.xml"/><Relationship Id="rId10" Type="http://schemas.openxmlformats.org/officeDocument/2006/relationships/hyperlink" Target="mailto:carranzajuanp@gmail.com" TargetMode="External"/><Relationship Id="rId19" Type="http://schemas.openxmlformats.org/officeDocument/2006/relationships/image" Target="media/image5.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arqzavala@gmail.com" TargetMode="External"/><Relationship Id="rId14" Type="http://schemas.openxmlformats.org/officeDocument/2006/relationships/hyperlink" Target="https://datosestadistica.cba.gov.ar/dataset/indic/resource/2b4a7c60-1c8a-45b1-be8f-2bd59bfe2364" TargetMode="External"/><Relationship Id="rId22" Type="http://schemas.openxmlformats.org/officeDocument/2006/relationships/hyperlink" Target="https://www.mapascordoba.gob.ar" TargetMode="External"/><Relationship Id="rId27" Type="http://schemas.openxmlformats.org/officeDocument/2006/relationships/image" Target="media/image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21</Pages>
  <Words>5786</Words>
  <Characters>32983</Characters>
  <Application>Microsoft Office Word</Application>
  <DocSecurity>0</DocSecurity>
  <Lines>274</Lines>
  <Paragraphs>77</Paragraphs>
  <ScaleCrop>false</ScaleCrop>
  <Company/>
  <LinksUpToDate>false</LinksUpToDate>
  <CharactersWithSpaces>38692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Usuario</cp:lastModifiedBy>
  <cp:revision>4</cp:revision>
  <dcterms:created xsi:type="dcterms:W3CDTF">2022-04-14T19:23:00Z</dcterms:created>
  <dcterms:modified xsi:type="dcterms:W3CDTF">2022-07-20T14:19:00Z</dcterms:modified>
</cp:coreProperties>
</file>