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E4F8" w14:textId="26F7B146" w:rsidR="008F292F" w:rsidRDefault="00235754">
      <w:pPr>
        <w:keepNext/>
        <w:pBdr>
          <w:top w:val="nil"/>
          <w:left w:val="nil"/>
          <w:bottom w:val="nil"/>
          <w:right w:val="nil"/>
          <w:between w:val="nil"/>
        </w:pBdr>
        <w:ind w:left="1260" w:firstLine="226"/>
        <w:jc w:val="center"/>
        <w:rPr>
          <w:rFonts w:ascii="Arial" w:eastAsia="Arial" w:hAnsi="Arial" w:cs="Arial"/>
          <w:b/>
          <w:color w:val="000000"/>
          <w:sz w:val="28"/>
          <w:szCs w:val="28"/>
        </w:rPr>
      </w:pPr>
      <w:r>
        <w:rPr>
          <w:rFonts w:ascii="Arial" w:eastAsia="Arial" w:hAnsi="Arial" w:cs="Arial"/>
          <w:b/>
          <w:color w:val="000000"/>
          <w:sz w:val="28"/>
          <w:szCs w:val="28"/>
        </w:rPr>
        <w:t>Portal web interactivo para difusión de i</w:t>
      </w:r>
      <w:r w:rsidR="008F292F">
        <w:rPr>
          <w:rFonts w:ascii="Arial" w:eastAsia="Arial" w:hAnsi="Arial" w:cs="Arial"/>
          <w:b/>
          <w:color w:val="000000"/>
          <w:sz w:val="28"/>
          <w:szCs w:val="28"/>
        </w:rPr>
        <w:t>ndicadores geoestadísticos</w:t>
      </w:r>
      <w:r>
        <w:rPr>
          <w:rFonts w:ascii="Arial" w:eastAsia="Arial" w:hAnsi="Arial" w:cs="Arial"/>
          <w:b/>
          <w:color w:val="000000"/>
          <w:sz w:val="28"/>
          <w:szCs w:val="28"/>
        </w:rPr>
        <w:t xml:space="preserve"> </w:t>
      </w:r>
      <w:r w:rsidR="008F292F">
        <w:rPr>
          <w:rFonts w:ascii="Arial" w:eastAsia="Arial" w:hAnsi="Arial" w:cs="Arial"/>
          <w:b/>
          <w:color w:val="000000"/>
          <w:sz w:val="28"/>
          <w:szCs w:val="28"/>
        </w:rPr>
        <w:t>de Villa María</w:t>
      </w:r>
    </w:p>
    <w:p w14:paraId="6D257E1C" w14:textId="77777777" w:rsidR="003F0CF8" w:rsidRDefault="003F0CF8">
      <w:pPr>
        <w:pBdr>
          <w:top w:val="nil"/>
          <w:left w:val="nil"/>
          <w:bottom w:val="nil"/>
          <w:right w:val="nil"/>
          <w:between w:val="nil"/>
        </w:pBdr>
        <w:jc w:val="center"/>
        <w:rPr>
          <w:rFonts w:ascii="Arial" w:eastAsia="Arial" w:hAnsi="Arial" w:cs="Arial"/>
          <w:color w:val="000000"/>
          <w:sz w:val="24"/>
          <w:szCs w:val="24"/>
        </w:rPr>
      </w:pPr>
    </w:p>
    <w:p w14:paraId="5DCC88C2" w14:textId="1F7E4B57" w:rsidR="003F0CF8" w:rsidRPr="00A87C5F" w:rsidRDefault="00C757FA" w:rsidP="00A87C5F">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rPr>
        <w:t xml:space="preserve">Paola </w:t>
      </w:r>
      <w:bookmarkStart w:id="0" w:name="_GoBack"/>
      <w:r w:rsidRPr="00E6114C">
        <w:rPr>
          <w:rFonts w:ascii="Arial" w:eastAsia="Arial" w:hAnsi="Arial" w:cs="Arial"/>
          <w:color w:val="000000"/>
          <w:sz w:val="22"/>
          <w:szCs w:val="22"/>
        </w:rPr>
        <w:t>Salvatierra</w:t>
      </w:r>
      <w:r w:rsidRPr="00E6114C">
        <w:rPr>
          <w:rFonts w:ascii="Arial" w:eastAsia="Arial" w:hAnsi="Arial" w:cs="Arial"/>
          <w:color w:val="000000"/>
          <w:sz w:val="22"/>
          <w:szCs w:val="22"/>
          <w:vertAlign w:val="superscript"/>
        </w:rPr>
        <w:t>1</w:t>
      </w:r>
      <w:bookmarkEnd w:id="0"/>
      <w:r w:rsidR="00E6114C">
        <w:rPr>
          <w:rFonts w:ascii="Arial" w:eastAsia="Arial" w:hAnsi="Arial" w:cs="Arial"/>
          <w:color w:val="000000"/>
          <w:sz w:val="22"/>
          <w:szCs w:val="22"/>
          <w:vertAlign w:val="superscript"/>
        </w:rPr>
        <w:t>,</w:t>
      </w:r>
      <w:r w:rsidRPr="00E6114C">
        <w:rPr>
          <w:rFonts w:ascii="Arial" w:eastAsia="Arial" w:hAnsi="Arial" w:cs="Arial"/>
          <w:color w:val="000000"/>
          <w:sz w:val="22"/>
          <w:szCs w:val="22"/>
          <w:vertAlign w:val="superscript"/>
        </w:rPr>
        <w:t>2</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Karina de la Iglesia</w:t>
      </w:r>
      <w:r w:rsidR="00870F89" w:rsidRPr="00E6114C">
        <w:rPr>
          <w:rFonts w:ascii="Arial" w:eastAsia="Arial" w:hAnsi="Arial" w:cs="Arial"/>
          <w:color w:val="000000"/>
          <w:sz w:val="22"/>
          <w:szCs w:val="22"/>
          <w:vertAlign w:val="superscript"/>
        </w:rPr>
        <w:t>1</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Joaquín Muñoz</w:t>
      </w:r>
      <w:r w:rsidR="00122989" w:rsidRPr="00E6114C">
        <w:rPr>
          <w:rFonts w:ascii="Arial" w:eastAsia="Arial" w:hAnsi="Arial" w:cs="Arial"/>
          <w:color w:val="000000"/>
          <w:sz w:val="22"/>
          <w:szCs w:val="22"/>
          <w:vertAlign w:val="superscript"/>
        </w:rPr>
        <w:t>1</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Jonathan Oviedo</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16"/>
          <w:szCs w:val="16"/>
        </w:rPr>
        <w:t xml:space="preserve">, </w:t>
      </w:r>
      <w:r w:rsidR="00122989" w:rsidRPr="00E6114C">
        <w:rPr>
          <w:rFonts w:ascii="Arial" w:eastAsia="Arial" w:hAnsi="Arial" w:cs="Arial"/>
          <w:color w:val="000000"/>
          <w:sz w:val="22"/>
          <w:szCs w:val="22"/>
        </w:rPr>
        <w:t>Valeria Ribero</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22"/>
          <w:szCs w:val="22"/>
        </w:rPr>
        <w:t xml:space="preserve">, </w:t>
      </w:r>
      <w:r w:rsidR="00E6114C" w:rsidRPr="00E6114C">
        <w:rPr>
          <w:rFonts w:ascii="Arial" w:eastAsia="Arial" w:hAnsi="Arial" w:cs="Arial"/>
          <w:color w:val="000000"/>
          <w:sz w:val="22"/>
          <w:szCs w:val="22"/>
        </w:rPr>
        <w:t>Ana Belén de Labay</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22"/>
          <w:szCs w:val="22"/>
        </w:rPr>
        <w:t>,</w:t>
      </w:r>
      <w:r w:rsidR="00E6114C" w:rsidRPr="00E6114C">
        <w:rPr>
          <w:rFonts w:ascii="Arial" w:eastAsia="Arial" w:hAnsi="Arial" w:cs="Arial"/>
          <w:color w:val="000000"/>
          <w:sz w:val="22"/>
          <w:szCs w:val="22"/>
        </w:rPr>
        <w:t xml:space="preserve"> Agustín Martinez</w:t>
      </w:r>
      <w:r w:rsidR="00E6114C" w:rsidRP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rPr>
        <w:t>, Azul Garelli Gaido</w:t>
      </w:r>
      <w:r w:rsidR="00E6114C" w:rsidRP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rPr>
        <w:t xml:space="preserve"> y</w:t>
      </w:r>
      <w:r w:rsidR="00D46734">
        <w:rPr>
          <w:rFonts w:ascii="Arial" w:eastAsia="Arial" w:hAnsi="Arial" w:cs="Arial"/>
          <w:color w:val="000000"/>
          <w:sz w:val="22"/>
          <w:szCs w:val="22"/>
        </w:rPr>
        <w:t xml:space="preserve"> </w:t>
      </w:r>
      <w:r w:rsidR="00F07395">
        <w:rPr>
          <w:rFonts w:ascii="Arial" w:eastAsia="Arial" w:hAnsi="Arial" w:cs="Arial"/>
          <w:color w:val="000000"/>
          <w:sz w:val="22"/>
          <w:szCs w:val="22"/>
        </w:rPr>
        <w:t xml:space="preserve">María </w:t>
      </w:r>
      <w:r w:rsidR="00E6114C" w:rsidRPr="00E6114C">
        <w:rPr>
          <w:rFonts w:ascii="Arial" w:eastAsia="Arial" w:hAnsi="Arial" w:cs="Arial"/>
          <w:color w:val="000000"/>
          <w:sz w:val="22"/>
          <w:szCs w:val="22"/>
        </w:rPr>
        <w:t>Eugenia Videla</w:t>
      </w:r>
      <w:r w:rsid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vertAlign w:val="superscript"/>
        </w:rPr>
        <w:t>2</w:t>
      </w:r>
      <w:r w:rsidR="00E6114C" w:rsidRPr="00E6114C">
        <w:rPr>
          <w:rFonts w:ascii="Arial" w:eastAsia="Arial" w:hAnsi="Arial" w:cs="Arial"/>
          <w:color w:val="000000"/>
          <w:sz w:val="22"/>
          <w:szCs w:val="22"/>
        </w:rPr>
        <w:t xml:space="preserve"> </w:t>
      </w:r>
    </w:p>
    <w:p w14:paraId="0AA76DB8" w14:textId="4865FBB5" w:rsidR="003F0CF8" w:rsidRPr="00E6114C" w:rsidRDefault="00870F89" w:rsidP="00BC295C">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vertAlign w:val="superscript"/>
        </w:rPr>
        <w:t>1</w:t>
      </w:r>
      <w:r w:rsidRPr="00E6114C">
        <w:rPr>
          <w:rFonts w:ascii="Arial" w:eastAsia="Arial" w:hAnsi="Arial" w:cs="Arial"/>
          <w:color w:val="000000"/>
          <w:sz w:val="22"/>
          <w:szCs w:val="22"/>
        </w:rPr>
        <w:t xml:space="preserve"> </w:t>
      </w:r>
      <w:r w:rsidR="00C757FA" w:rsidRPr="00E6114C">
        <w:rPr>
          <w:rFonts w:ascii="Arial" w:eastAsia="Arial" w:hAnsi="Arial" w:cs="Arial"/>
          <w:color w:val="000000"/>
          <w:sz w:val="22"/>
          <w:szCs w:val="22"/>
        </w:rPr>
        <w:t xml:space="preserve">Centro Estadístico </w:t>
      </w:r>
      <w:r w:rsidR="00F23DF4">
        <w:rPr>
          <w:rFonts w:ascii="Arial" w:eastAsia="Arial" w:hAnsi="Arial" w:cs="Arial"/>
          <w:color w:val="000000"/>
          <w:sz w:val="22"/>
          <w:szCs w:val="22"/>
        </w:rPr>
        <w:t xml:space="preserve">Local y Regional de la </w:t>
      </w:r>
      <w:r w:rsidR="00C757FA" w:rsidRPr="00E6114C">
        <w:rPr>
          <w:rFonts w:ascii="Arial" w:eastAsia="Arial" w:hAnsi="Arial" w:cs="Arial"/>
          <w:color w:val="000000"/>
          <w:sz w:val="22"/>
          <w:szCs w:val="22"/>
        </w:rPr>
        <w:t>Municipalidad de Villa María</w:t>
      </w:r>
      <w:r w:rsidRPr="00E6114C">
        <w:rPr>
          <w:rFonts w:ascii="Arial" w:eastAsia="Arial" w:hAnsi="Arial" w:cs="Arial"/>
          <w:color w:val="000000"/>
          <w:sz w:val="22"/>
          <w:szCs w:val="22"/>
        </w:rPr>
        <w:t xml:space="preserve">, </w:t>
      </w:r>
      <w:r w:rsidR="00C757FA" w:rsidRPr="00E6114C">
        <w:rPr>
          <w:rFonts w:ascii="Arial" w:eastAsia="Arial" w:hAnsi="Arial" w:cs="Arial"/>
          <w:color w:val="000000"/>
          <w:sz w:val="22"/>
          <w:szCs w:val="22"/>
        </w:rPr>
        <w:t>B</w:t>
      </w:r>
      <w:r w:rsidR="00BC295C" w:rsidRPr="00E6114C">
        <w:rPr>
          <w:rFonts w:ascii="Arial" w:eastAsia="Arial" w:hAnsi="Arial" w:cs="Arial"/>
          <w:color w:val="000000"/>
          <w:sz w:val="22"/>
          <w:szCs w:val="22"/>
        </w:rPr>
        <w:t>l</w:t>
      </w:r>
      <w:r w:rsidR="00C757FA" w:rsidRPr="00E6114C">
        <w:rPr>
          <w:rFonts w:ascii="Arial" w:eastAsia="Arial" w:hAnsi="Arial" w:cs="Arial"/>
          <w:color w:val="000000"/>
          <w:sz w:val="22"/>
          <w:szCs w:val="22"/>
        </w:rPr>
        <w:t>v</w:t>
      </w:r>
      <w:r w:rsidR="00BC295C" w:rsidRPr="00E6114C">
        <w:rPr>
          <w:rFonts w:ascii="Arial" w:eastAsia="Arial" w:hAnsi="Arial" w:cs="Arial"/>
          <w:color w:val="000000"/>
          <w:sz w:val="22"/>
          <w:szCs w:val="22"/>
        </w:rPr>
        <w:t>r.</w:t>
      </w:r>
      <w:r w:rsidR="00C757FA" w:rsidRPr="00E6114C">
        <w:rPr>
          <w:rFonts w:ascii="Arial" w:eastAsia="Arial" w:hAnsi="Arial" w:cs="Arial"/>
          <w:color w:val="000000"/>
          <w:sz w:val="22"/>
          <w:szCs w:val="22"/>
        </w:rPr>
        <w:t xml:space="preserve"> </w:t>
      </w:r>
      <w:r w:rsidR="00164908" w:rsidRPr="00E6114C">
        <w:rPr>
          <w:rFonts w:ascii="Arial" w:eastAsia="Arial" w:hAnsi="Arial" w:cs="Arial"/>
          <w:color w:val="000000"/>
          <w:sz w:val="22"/>
          <w:szCs w:val="22"/>
        </w:rPr>
        <w:t>Vélez</w:t>
      </w:r>
      <w:r w:rsidR="00C757FA" w:rsidRPr="00E6114C">
        <w:rPr>
          <w:rFonts w:ascii="Arial" w:eastAsia="Arial" w:hAnsi="Arial" w:cs="Arial"/>
          <w:color w:val="000000"/>
          <w:sz w:val="22"/>
          <w:szCs w:val="22"/>
        </w:rPr>
        <w:t xml:space="preserve"> </w:t>
      </w:r>
      <w:r w:rsidR="00164908" w:rsidRPr="00E6114C">
        <w:rPr>
          <w:rFonts w:ascii="Arial" w:eastAsia="Arial" w:hAnsi="Arial" w:cs="Arial"/>
          <w:color w:val="000000"/>
          <w:sz w:val="22"/>
          <w:szCs w:val="22"/>
        </w:rPr>
        <w:t>Sarsfield</w:t>
      </w:r>
      <w:r w:rsidR="00C757FA" w:rsidRPr="00E6114C">
        <w:rPr>
          <w:rFonts w:ascii="Arial" w:eastAsia="Arial" w:hAnsi="Arial" w:cs="Arial"/>
          <w:color w:val="000000"/>
          <w:sz w:val="22"/>
          <w:szCs w:val="22"/>
        </w:rPr>
        <w:t xml:space="preserve"> 1101</w:t>
      </w:r>
      <w:r w:rsidR="00BC295C" w:rsidRPr="00E6114C">
        <w:rPr>
          <w:rFonts w:ascii="Arial" w:eastAsia="Arial" w:hAnsi="Arial" w:cs="Arial"/>
          <w:color w:val="000000"/>
          <w:sz w:val="22"/>
          <w:szCs w:val="22"/>
        </w:rPr>
        <w:t xml:space="preserve">, Villa María, 5900. </w:t>
      </w:r>
      <w:r w:rsidRPr="00E6114C">
        <w:rPr>
          <w:rFonts w:ascii="Arial" w:eastAsia="Arial" w:hAnsi="Arial" w:cs="Arial"/>
          <w:color w:val="000000"/>
          <w:sz w:val="22"/>
          <w:szCs w:val="22"/>
        </w:rPr>
        <w:t>Tel: (</w:t>
      </w:r>
      <w:r w:rsidR="00BC295C" w:rsidRPr="00E6114C">
        <w:rPr>
          <w:rFonts w:ascii="Arial" w:eastAsia="Arial" w:hAnsi="Arial" w:cs="Arial"/>
          <w:color w:val="000000"/>
          <w:sz w:val="22"/>
          <w:szCs w:val="22"/>
        </w:rPr>
        <w:t>353</w:t>
      </w:r>
      <w:r w:rsidRPr="00E6114C">
        <w:rPr>
          <w:rFonts w:ascii="Arial" w:eastAsia="Arial" w:hAnsi="Arial" w:cs="Arial"/>
          <w:color w:val="000000"/>
          <w:sz w:val="22"/>
          <w:szCs w:val="22"/>
        </w:rPr>
        <w:t>) 4</w:t>
      </w:r>
      <w:r w:rsidR="00BC295C" w:rsidRPr="00E6114C">
        <w:rPr>
          <w:rFonts w:ascii="Arial" w:eastAsia="Arial" w:hAnsi="Arial" w:cs="Arial"/>
          <w:color w:val="000000"/>
          <w:sz w:val="22"/>
          <w:szCs w:val="22"/>
        </w:rPr>
        <w:t xml:space="preserve">247342.  celre.mvm@gmail. </w:t>
      </w:r>
    </w:p>
    <w:p w14:paraId="4122C668" w14:textId="04DAA9BC" w:rsidR="003F0CF8" w:rsidRDefault="00870F89" w:rsidP="00122989">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vertAlign w:val="superscript"/>
        </w:rPr>
        <w:t>2</w:t>
      </w:r>
      <w:r w:rsidRPr="00E6114C">
        <w:rPr>
          <w:rFonts w:ascii="Arial" w:eastAsia="Arial" w:hAnsi="Arial" w:cs="Arial"/>
          <w:color w:val="000000"/>
          <w:sz w:val="22"/>
          <w:szCs w:val="22"/>
        </w:rPr>
        <w:t xml:space="preserve"> </w:t>
      </w:r>
      <w:r w:rsidR="00A87C5F">
        <w:rPr>
          <w:rFonts w:ascii="Arial" w:eastAsia="Arial" w:hAnsi="Arial" w:cs="Arial"/>
          <w:color w:val="000000"/>
          <w:sz w:val="22"/>
          <w:szCs w:val="22"/>
        </w:rPr>
        <w:t>U</w:t>
      </w:r>
      <w:r w:rsidR="00A87C5F" w:rsidRPr="00E6114C">
        <w:rPr>
          <w:rFonts w:ascii="Arial" w:eastAsia="Arial" w:hAnsi="Arial" w:cs="Arial"/>
          <w:color w:val="000000"/>
          <w:sz w:val="22"/>
          <w:szCs w:val="22"/>
        </w:rPr>
        <w:t>niversidad</w:t>
      </w:r>
      <w:r w:rsidR="00BC295C" w:rsidRPr="00E6114C">
        <w:rPr>
          <w:rFonts w:ascii="Arial" w:eastAsia="Arial" w:hAnsi="Arial" w:cs="Arial"/>
          <w:color w:val="000000"/>
          <w:sz w:val="22"/>
          <w:szCs w:val="22"/>
        </w:rPr>
        <w:t xml:space="preserve"> Nacional de Villa María, </w:t>
      </w:r>
      <w:r w:rsidR="00122989" w:rsidRPr="00E6114C">
        <w:rPr>
          <w:rFonts w:ascii="Arial" w:eastAsia="Arial" w:hAnsi="Arial" w:cs="Arial"/>
          <w:color w:val="000000"/>
          <w:sz w:val="22"/>
          <w:szCs w:val="22"/>
        </w:rPr>
        <w:t xml:space="preserve">Arturo Jauretche 1555, Villa María, 5900. Tel: (353) 4539103. </w:t>
      </w:r>
      <w:r w:rsidR="00BC295C" w:rsidRPr="00E6114C">
        <w:rPr>
          <w:rFonts w:ascii="Arial" w:eastAsia="Arial" w:hAnsi="Arial" w:cs="Arial"/>
          <w:color w:val="000000"/>
          <w:sz w:val="22"/>
          <w:szCs w:val="22"/>
        </w:rPr>
        <w:t xml:space="preserve"> </w:t>
      </w:r>
    </w:p>
    <w:p w14:paraId="6E225DEB" w14:textId="77777777" w:rsidR="003F0CF8" w:rsidRDefault="003F0CF8">
      <w:pPr>
        <w:pBdr>
          <w:top w:val="nil"/>
          <w:left w:val="nil"/>
          <w:bottom w:val="nil"/>
          <w:right w:val="nil"/>
          <w:between w:val="nil"/>
        </w:pBdr>
        <w:jc w:val="both"/>
        <w:rPr>
          <w:rFonts w:ascii="Arial" w:eastAsia="Arial" w:hAnsi="Arial" w:cs="Arial"/>
          <w:color w:val="000000"/>
          <w:sz w:val="24"/>
          <w:szCs w:val="24"/>
        </w:rPr>
      </w:pPr>
    </w:p>
    <w:p w14:paraId="3779EDEB" w14:textId="053F49D4" w:rsidR="003F0CF8" w:rsidRPr="006D43B8" w:rsidRDefault="00870F89">
      <w:pPr>
        <w:pBdr>
          <w:top w:val="nil"/>
          <w:left w:val="nil"/>
          <w:bottom w:val="nil"/>
          <w:right w:val="nil"/>
          <w:between w:val="nil"/>
        </w:pBdr>
        <w:ind w:left="709" w:right="709"/>
        <w:jc w:val="both"/>
        <w:rPr>
          <w:rFonts w:ascii="Arial" w:eastAsia="Arial" w:hAnsi="Arial" w:cs="Arial"/>
          <w:color w:val="000000"/>
          <w:sz w:val="22"/>
          <w:szCs w:val="22"/>
        </w:rPr>
      </w:pPr>
      <w:r w:rsidRPr="006D43B8">
        <w:rPr>
          <w:rFonts w:ascii="Arial" w:eastAsia="Arial" w:hAnsi="Arial" w:cs="Arial"/>
          <w:b/>
          <w:color w:val="000000"/>
          <w:sz w:val="22"/>
          <w:szCs w:val="22"/>
        </w:rPr>
        <w:t>Resumen</w:t>
      </w:r>
      <w:r w:rsidRPr="006D43B8">
        <w:rPr>
          <w:rFonts w:ascii="Arial" w:eastAsia="Arial" w:hAnsi="Arial" w:cs="Arial"/>
          <w:color w:val="000000"/>
          <w:sz w:val="22"/>
          <w:szCs w:val="22"/>
        </w:rPr>
        <w:t xml:space="preserve"> </w:t>
      </w:r>
    </w:p>
    <w:p w14:paraId="25988982" w14:textId="12267763" w:rsidR="006D43B8" w:rsidRPr="006D43B8" w:rsidRDefault="009B57A8" w:rsidP="009F5C95">
      <w:pPr>
        <w:pBdr>
          <w:top w:val="nil"/>
          <w:left w:val="nil"/>
          <w:bottom w:val="nil"/>
          <w:right w:val="nil"/>
          <w:between w:val="nil"/>
        </w:pBdr>
        <w:ind w:left="709"/>
        <w:jc w:val="both"/>
        <w:rPr>
          <w:rFonts w:ascii="Arial" w:eastAsia="Arial" w:hAnsi="Arial" w:cs="Arial"/>
          <w:color w:val="000000"/>
          <w:sz w:val="22"/>
          <w:szCs w:val="22"/>
        </w:rPr>
      </w:pPr>
      <w:r w:rsidRPr="006D43B8">
        <w:rPr>
          <w:rFonts w:ascii="Arial" w:eastAsia="Arial" w:hAnsi="Arial" w:cs="Arial"/>
          <w:color w:val="000000"/>
          <w:sz w:val="22"/>
          <w:szCs w:val="22"/>
        </w:rPr>
        <w:t>El Centro Estadístico se constituye como una herramienta de gestión que pone a disposición información rigurosa, sobre diferentes problemáticas y aspectos relevantes de la población en particular y ciudad en general, mediante informes y procesamientos geoespaciales de los datos que permitan a los diferentes sectores, públicos y privados, visualizar y tomar decisiones con bases sólidas.</w:t>
      </w:r>
      <w:r w:rsidR="009F5C95">
        <w:rPr>
          <w:rFonts w:ascii="Arial" w:eastAsia="Arial" w:hAnsi="Arial" w:cs="Arial"/>
          <w:color w:val="000000"/>
          <w:sz w:val="22"/>
          <w:szCs w:val="22"/>
        </w:rPr>
        <w:t xml:space="preserve"> </w:t>
      </w:r>
      <w:r w:rsidRPr="006D43B8">
        <w:rPr>
          <w:rFonts w:ascii="Arial" w:eastAsia="Arial" w:hAnsi="Arial" w:cs="Arial"/>
          <w:color w:val="000000"/>
          <w:sz w:val="22"/>
          <w:szCs w:val="22"/>
        </w:rPr>
        <w:t>La Encuesta Trimestral de Hogares (ETH) se constituye como el primer programa</w:t>
      </w:r>
      <w:r w:rsidR="00BA01BB">
        <w:rPr>
          <w:rFonts w:ascii="Arial" w:eastAsia="Arial" w:hAnsi="Arial" w:cs="Arial"/>
          <w:color w:val="000000"/>
          <w:sz w:val="22"/>
          <w:szCs w:val="22"/>
        </w:rPr>
        <w:t xml:space="preserve"> </w:t>
      </w:r>
      <w:r w:rsidRPr="006D43B8">
        <w:rPr>
          <w:rFonts w:ascii="Arial" w:eastAsia="Arial" w:hAnsi="Arial" w:cs="Arial"/>
          <w:color w:val="000000"/>
          <w:sz w:val="22"/>
          <w:szCs w:val="22"/>
        </w:rPr>
        <w:t>sistemático de recolección de datos para la elaboración de indicadores locales. El instrumento de recolección de información está</w:t>
      </w:r>
      <w:r w:rsidR="006D43B8" w:rsidRPr="006D43B8">
        <w:rPr>
          <w:rFonts w:ascii="Arial" w:eastAsia="Arial" w:hAnsi="Arial" w:cs="Arial"/>
          <w:color w:val="000000"/>
          <w:sz w:val="22"/>
          <w:szCs w:val="22"/>
        </w:rPr>
        <w:t xml:space="preserve"> </w:t>
      </w:r>
      <w:r w:rsidRPr="006D43B8">
        <w:rPr>
          <w:rFonts w:ascii="Arial" w:eastAsia="Arial" w:hAnsi="Arial" w:cs="Arial"/>
          <w:color w:val="000000"/>
          <w:sz w:val="22"/>
          <w:szCs w:val="22"/>
        </w:rPr>
        <w:t>conformado por formularios cuyas preguntas abarcan lo habitacional, las</w:t>
      </w:r>
      <w:r w:rsidR="006D43B8" w:rsidRPr="006D43B8">
        <w:rPr>
          <w:rFonts w:ascii="Arial" w:eastAsia="Arial" w:hAnsi="Arial" w:cs="Arial"/>
          <w:color w:val="000000"/>
          <w:sz w:val="22"/>
          <w:szCs w:val="22"/>
        </w:rPr>
        <w:t xml:space="preserve"> </w:t>
      </w:r>
      <w:r w:rsidRPr="006D43B8">
        <w:rPr>
          <w:rFonts w:ascii="Arial" w:eastAsia="Arial" w:hAnsi="Arial" w:cs="Arial"/>
          <w:color w:val="000000"/>
          <w:sz w:val="22"/>
          <w:szCs w:val="22"/>
        </w:rPr>
        <w:t>características del hogar y de cada miembro del mismo.</w:t>
      </w:r>
      <w:r w:rsidR="006D43B8" w:rsidRPr="006D43B8">
        <w:rPr>
          <w:rFonts w:ascii="Arial" w:eastAsia="Arial" w:hAnsi="Arial" w:cs="Arial"/>
          <w:color w:val="000000"/>
          <w:sz w:val="22"/>
          <w:szCs w:val="22"/>
        </w:rPr>
        <w:t xml:space="preserve"> Cada seis meses se incorporan formularios referidos a la percepción de seguridad de la ciudadanía y a la victimización. Cada tres meses, un equipo de encuestadores realizan un despliegue territorial con el objetivo de aplicar la ETH de manera georreferenciada a partir de formularios geo inteligentes. Posteriormente, se realizan los procesamientos estadísticos correspondientes que garantizan la calidad de la estimación de los indicadores y la actualización automatizada de los datos del portal web. </w:t>
      </w:r>
    </w:p>
    <w:p w14:paraId="0F3FB556" w14:textId="4A5FA391" w:rsidR="009B57A8" w:rsidRPr="006D43B8" w:rsidRDefault="009B57A8" w:rsidP="006D43B8">
      <w:pPr>
        <w:pBdr>
          <w:top w:val="nil"/>
          <w:left w:val="nil"/>
          <w:bottom w:val="nil"/>
          <w:right w:val="nil"/>
          <w:between w:val="nil"/>
        </w:pBdr>
        <w:ind w:left="709"/>
        <w:jc w:val="both"/>
        <w:rPr>
          <w:rFonts w:ascii="Arial" w:eastAsia="Arial" w:hAnsi="Arial" w:cs="Arial"/>
          <w:color w:val="000000"/>
          <w:sz w:val="22"/>
          <w:szCs w:val="22"/>
        </w:rPr>
      </w:pPr>
      <w:r w:rsidRPr="006D43B8">
        <w:rPr>
          <w:rFonts w:ascii="Arial" w:eastAsia="Arial" w:hAnsi="Arial" w:cs="Arial"/>
          <w:color w:val="000000"/>
          <w:sz w:val="22"/>
          <w:szCs w:val="22"/>
        </w:rPr>
        <w:t xml:space="preserve">Con el objetivo de democratizar el acceso a la información generada por el centro estadístico, toda la producción de indicadores locales se encuentra disponible en el portal web dentro de la página oficial de la ciudad. El portal del Centro Estadístico se destaca por estar diseñado con un sistema de información geográfico que permite, entre otros, el desarrollo de </w:t>
      </w:r>
      <w:r w:rsidR="009238B7">
        <w:rPr>
          <w:rFonts w:ascii="Arial" w:eastAsia="Arial" w:hAnsi="Arial" w:cs="Arial"/>
          <w:color w:val="000000"/>
          <w:sz w:val="22"/>
          <w:szCs w:val="22"/>
        </w:rPr>
        <w:t>aplicaciones</w:t>
      </w:r>
      <w:r w:rsidRPr="006D43B8">
        <w:rPr>
          <w:rFonts w:ascii="Arial" w:eastAsia="Arial" w:hAnsi="Arial" w:cs="Arial"/>
          <w:color w:val="000000"/>
          <w:sz w:val="22"/>
          <w:szCs w:val="22"/>
        </w:rPr>
        <w:t xml:space="preserve"> interactivas para promover la participación ciudadana. </w:t>
      </w:r>
    </w:p>
    <w:p w14:paraId="6B66E1FB" w14:textId="77777777" w:rsidR="00235754" w:rsidRPr="00E7738A" w:rsidRDefault="00235754">
      <w:pPr>
        <w:pBdr>
          <w:top w:val="nil"/>
          <w:left w:val="nil"/>
          <w:bottom w:val="nil"/>
          <w:right w:val="nil"/>
          <w:between w:val="nil"/>
        </w:pBdr>
        <w:ind w:left="709" w:right="709"/>
        <w:jc w:val="both"/>
        <w:rPr>
          <w:rFonts w:ascii="Arial" w:eastAsia="Arial" w:hAnsi="Arial" w:cs="Arial"/>
          <w:color w:val="000000"/>
          <w:sz w:val="22"/>
          <w:szCs w:val="22"/>
          <w:highlight w:val="yellow"/>
        </w:rPr>
      </w:pPr>
    </w:p>
    <w:p w14:paraId="158A8EDB" w14:textId="668FB06D" w:rsidR="009F5C95" w:rsidRDefault="00870F89" w:rsidP="009F5C95">
      <w:pPr>
        <w:pBdr>
          <w:top w:val="nil"/>
          <w:left w:val="nil"/>
          <w:bottom w:val="nil"/>
          <w:right w:val="nil"/>
          <w:between w:val="nil"/>
        </w:pBdr>
        <w:ind w:left="709" w:right="709"/>
        <w:jc w:val="both"/>
        <w:rPr>
          <w:rFonts w:ascii="Arial" w:eastAsia="Arial" w:hAnsi="Arial" w:cs="Arial"/>
          <w:color w:val="000000"/>
          <w:sz w:val="22"/>
          <w:szCs w:val="22"/>
        </w:rPr>
      </w:pPr>
      <w:r w:rsidRPr="00D5781B">
        <w:rPr>
          <w:rFonts w:ascii="Arial" w:eastAsia="Arial" w:hAnsi="Arial" w:cs="Arial"/>
          <w:b/>
          <w:color w:val="000000"/>
          <w:sz w:val="22"/>
          <w:szCs w:val="22"/>
        </w:rPr>
        <w:t>Palabras Claves:</w:t>
      </w:r>
      <w:r w:rsidRPr="00D5781B">
        <w:rPr>
          <w:rFonts w:ascii="Arial" w:eastAsia="Arial" w:hAnsi="Arial" w:cs="Arial"/>
          <w:color w:val="000000"/>
          <w:sz w:val="22"/>
          <w:szCs w:val="22"/>
        </w:rPr>
        <w:t xml:space="preserve"> </w:t>
      </w:r>
      <w:r w:rsidR="00D5781B" w:rsidRPr="00D5781B">
        <w:rPr>
          <w:rFonts w:ascii="Arial" w:eastAsia="Arial" w:hAnsi="Arial" w:cs="Arial"/>
          <w:color w:val="000000"/>
          <w:sz w:val="22"/>
          <w:szCs w:val="22"/>
        </w:rPr>
        <w:t xml:space="preserve">Encuesta Trimestral de Hogares – Panel interactivo – Municercas </w:t>
      </w:r>
    </w:p>
    <w:p w14:paraId="317032EB" w14:textId="77777777" w:rsidR="009F5C95" w:rsidRDefault="009F5C95" w:rsidP="009F5C95">
      <w:pPr>
        <w:pBdr>
          <w:top w:val="nil"/>
          <w:left w:val="nil"/>
          <w:bottom w:val="nil"/>
          <w:right w:val="nil"/>
          <w:between w:val="nil"/>
        </w:pBdr>
        <w:ind w:left="709" w:right="709"/>
        <w:jc w:val="both"/>
        <w:rPr>
          <w:rFonts w:ascii="Arial" w:eastAsia="Arial" w:hAnsi="Arial" w:cs="Arial"/>
          <w:color w:val="000000"/>
          <w:sz w:val="22"/>
          <w:szCs w:val="22"/>
        </w:rPr>
      </w:pPr>
    </w:p>
    <w:p w14:paraId="3931113D" w14:textId="77777777" w:rsidR="003F0CF8" w:rsidRDefault="00870F89">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2A6F1798"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021C15D0" w14:textId="77777777" w:rsidR="008F799B" w:rsidRP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El Centro Estadístico pertenece a la Secretaría de Economía y Modernización de la Municipalidad de Villa María. Se creó a mediados de 2017, cuando se definió </w:t>
      </w:r>
      <w:r w:rsidRPr="008F799B">
        <w:rPr>
          <w:rFonts w:ascii="Arial" w:eastAsia="Arial" w:hAnsi="Arial" w:cs="Arial"/>
          <w:color w:val="000000"/>
          <w:sz w:val="22"/>
          <w:szCs w:val="22"/>
        </w:rPr>
        <w:lastRenderedPageBreak/>
        <w:t>su misión, sus objetivos y las metodologías a seguir. A principios de 2018, se firmó un convenio de colaboración con la Universidad Nacional de Villa María para la consolidación del área Estadística, siendo la casa de altos estudios la facilitadora de un equipo de encuestadores con formación y experiencia para garantizar la calidad en la recolección de la información.</w:t>
      </w:r>
    </w:p>
    <w:p w14:paraId="0A7D8D14" w14:textId="0B7620F4" w:rsidR="008F799B" w:rsidRP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La información que </w:t>
      </w:r>
      <w:r w:rsidR="00715C5F">
        <w:rPr>
          <w:rFonts w:ascii="Arial" w:eastAsia="Arial" w:hAnsi="Arial" w:cs="Arial"/>
          <w:color w:val="000000"/>
          <w:sz w:val="22"/>
          <w:szCs w:val="22"/>
        </w:rPr>
        <w:t xml:space="preserve">se </w:t>
      </w:r>
      <w:r w:rsidRPr="008F799B">
        <w:rPr>
          <w:rFonts w:ascii="Arial" w:eastAsia="Arial" w:hAnsi="Arial" w:cs="Arial"/>
          <w:color w:val="000000"/>
          <w:sz w:val="22"/>
          <w:szCs w:val="22"/>
        </w:rPr>
        <w:t xml:space="preserve">produce </w:t>
      </w:r>
      <w:r w:rsidR="00715C5F">
        <w:rPr>
          <w:rFonts w:ascii="Arial" w:eastAsia="Arial" w:hAnsi="Arial" w:cs="Arial"/>
          <w:color w:val="000000"/>
          <w:sz w:val="22"/>
          <w:szCs w:val="22"/>
        </w:rPr>
        <w:t xml:space="preserve">en </w:t>
      </w:r>
      <w:r w:rsidRPr="008F799B">
        <w:rPr>
          <w:rFonts w:ascii="Arial" w:eastAsia="Arial" w:hAnsi="Arial" w:cs="Arial"/>
          <w:color w:val="000000"/>
          <w:sz w:val="22"/>
          <w:szCs w:val="22"/>
        </w:rPr>
        <w:t>el Centro Estadístico es una herramienta elemental para la planificación de políticas públicas, para el fortalecimiento de la educación, así como para las investigaciones que se realizan en los ámbitos académicos y privados. Se presentan indicadores básicos con datos sociales, económicos, demográficos y de seguridad y victimización a través de aplicaciones interactivas web</w:t>
      </w:r>
      <w:r w:rsidR="00164908">
        <w:rPr>
          <w:rFonts w:ascii="Arial" w:eastAsia="Arial" w:hAnsi="Arial" w:cs="Arial"/>
          <w:color w:val="000000"/>
          <w:sz w:val="22"/>
          <w:szCs w:val="22"/>
        </w:rPr>
        <w:t>s</w:t>
      </w:r>
      <w:r w:rsidRPr="008F799B">
        <w:rPr>
          <w:rFonts w:ascii="Arial" w:eastAsia="Arial" w:hAnsi="Arial" w:cs="Arial"/>
          <w:color w:val="000000"/>
          <w:sz w:val="22"/>
          <w:szCs w:val="22"/>
        </w:rPr>
        <w:t xml:space="preserve"> </w:t>
      </w:r>
      <w:r w:rsidR="00715C5F" w:rsidRPr="008F799B">
        <w:rPr>
          <w:rFonts w:ascii="Arial" w:eastAsia="Arial" w:hAnsi="Arial" w:cs="Arial"/>
          <w:color w:val="000000"/>
          <w:sz w:val="22"/>
          <w:szCs w:val="22"/>
        </w:rPr>
        <w:t>georreferenciadas</w:t>
      </w:r>
      <w:r w:rsidRPr="008F799B">
        <w:rPr>
          <w:rFonts w:ascii="Arial" w:eastAsia="Arial" w:hAnsi="Arial" w:cs="Arial"/>
          <w:color w:val="000000"/>
          <w:sz w:val="22"/>
          <w:szCs w:val="22"/>
        </w:rPr>
        <w:t xml:space="preserve"> que permiten visualizar la información de manera territorial.</w:t>
      </w:r>
    </w:p>
    <w:p w14:paraId="21B103E0" w14:textId="4579A40C" w:rsidR="00F0653C" w:rsidRDefault="008F799B" w:rsidP="00921123">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El Centro Estadístico recolecta información de manera primaria a través de la participación de la ciudadanía y por medio del aporte de otras áreas y organismos que son importantes en la producción de indicadores estadísticos. Los datos individuales son confidenciales y se encuentran resguardados por la norma relativa al secreto estadístico (Ley Nacional N° 17.622), por lo que los resultados se encuentran referidos a la ciudad en general, agrupados por Municercas</w:t>
      </w:r>
      <w:r w:rsidR="00921123">
        <w:rPr>
          <w:rFonts w:ascii="Arial" w:eastAsia="Arial" w:hAnsi="Arial" w:cs="Arial"/>
          <w:color w:val="000000"/>
          <w:sz w:val="22"/>
          <w:szCs w:val="22"/>
        </w:rPr>
        <w:t xml:space="preserve">. </w:t>
      </w:r>
      <w:r w:rsidR="00921123" w:rsidRPr="00235754">
        <w:rPr>
          <w:rFonts w:ascii="Arial" w:eastAsia="Arial" w:hAnsi="Arial" w:cs="Arial"/>
          <w:color w:val="000000"/>
          <w:sz w:val="22"/>
          <w:szCs w:val="22"/>
        </w:rPr>
        <w:t xml:space="preserve">Los Municercas son centros que aglomeran la atención a los ciudadanos que viven en barrios cercanos a dicho centro, con el propósito </w:t>
      </w:r>
      <w:r w:rsidR="00241D4D">
        <w:rPr>
          <w:rFonts w:ascii="Arial" w:eastAsia="Arial" w:hAnsi="Arial" w:cs="Arial"/>
          <w:color w:val="000000"/>
          <w:sz w:val="22"/>
          <w:szCs w:val="22"/>
        </w:rPr>
        <w:t>de</w:t>
      </w:r>
      <w:r w:rsidR="00921123" w:rsidRPr="00235754">
        <w:rPr>
          <w:rFonts w:ascii="Arial" w:eastAsia="Arial" w:hAnsi="Arial" w:cs="Arial"/>
          <w:color w:val="000000"/>
          <w:sz w:val="22"/>
          <w:szCs w:val="22"/>
        </w:rPr>
        <w:t xml:space="preserve"> acercar la gestión municipal a los vecinos generando con ellos lazos de comunicación más ordenados y efectivos. Villa María cuenta con 8 municercas y el palacio municipal que abarca la atención de la zona central de la ciudad.</w:t>
      </w:r>
    </w:p>
    <w:p w14:paraId="669741C4" w14:textId="77777777" w:rsidR="00715C5F" w:rsidRPr="00B12C9E" w:rsidRDefault="00715C5F" w:rsidP="00921123">
      <w:pPr>
        <w:pBdr>
          <w:top w:val="nil"/>
          <w:left w:val="nil"/>
          <w:bottom w:val="nil"/>
          <w:right w:val="nil"/>
          <w:between w:val="nil"/>
        </w:pBdr>
        <w:jc w:val="both"/>
        <w:rPr>
          <w:rFonts w:ascii="Arial" w:eastAsia="Arial" w:hAnsi="Arial" w:cs="Arial"/>
          <w:color w:val="000000"/>
          <w:sz w:val="22"/>
          <w:szCs w:val="2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353035" w14:paraId="2DA79B31" w14:textId="77777777" w:rsidTr="00871743">
        <w:tc>
          <w:tcPr>
            <w:tcW w:w="7926" w:type="dxa"/>
          </w:tcPr>
          <w:p w14:paraId="78609E58" w14:textId="532FA945" w:rsidR="00353035" w:rsidRDefault="00871743" w:rsidP="008A128B">
            <w:pPr>
              <w:jc w:val="center"/>
              <w:rPr>
                <w:rFonts w:ascii="Arial" w:eastAsia="Arial" w:hAnsi="Arial" w:cs="Arial"/>
                <w:color w:val="000000"/>
                <w:sz w:val="22"/>
                <w:szCs w:val="22"/>
              </w:rPr>
            </w:pPr>
            <w:r>
              <w:rPr>
                <w:noProof/>
                <w:lang w:val="es-AR"/>
              </w:rPr>
              <w:drawing>
                <wp:inline distT="0" distB="0" distL="0" distR="0" wp14:anchorId="396848B0" wp14:editId="4AD8607F">
                  <wp:extent cx="3924433" cy="277200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433" cy="2772000"/>
                          </a:xfrm>
                          <a:prstGeom prst="rect">
                            <a:avLst/>
                          </a:prstGeom>
                          <a:noFill/>
                          <a:ln>
                            <a:noFill/>
                          </a:ln>
                        </pic:spPr>
                      </pic:pic>
                    </a:graphicData>
                  </a:graphic>
                </wp:inline>
              </w:drawing>
            </w:r>
          </w:p>
        </w:tc>
      </w:tr>
      <w:tr w:rsidR="00353035" w14:paraId="2B8F67D7" w14:textId="77777777" w:rsidTr="00871743">
        <w:tc>
          <w:tcPr>
            <w:tcW w:w="7926" w:type="dxa"/>
          </w:tcPr>
          <w:p w14:paraId="11F97F25" w14:textId="711DB6C9" w:rsidR="00353035" w:rsidRPr="00B12C9E" w:rsidRDefault="00B12C9E" w:rsidP="00B12C9E">
            <w:pPr>
              <w:jc w:val="center"/>
              <w:rPr>
                <w:rFonts w:ascii="Arial" w:eastAsia="Arial" w:hAnsi="Arial" w:cs="Arial"/>
                <w:color w:val="000000"/>
                <w:sz w:val="18"/>
                <w:szCs w:val="18"/>
              </w:rPr>
            </w:pPr>
            <w:r w:rsidRPr="00B12C9E">
              <w:rPr>
                <w:rFonts w:ascii="Arial" w:eastAsia="Arial" w:hAnsi="Arial" w:cs="Arial"/>
                <w:color w:val="000000"/>
                <w:sz w:val="18"/>
                <w:szCs w:val="18"/>
              </w:rPr>
              <w:t>Figura 1. Mapa de los municercas de Villa María.</w:t>
            </w:r>
          </w:p>
        </w:tc>
      </w:tr>
    </w:tbl>
    <w:p w14:paraId="4A829D97" w14:textId="77777777" w:rsidR="00353035" w:rsidRDefault="00353035" w:rsidP="00921123">
      <w:pPr>
        <w:pBdr>
          <w:top w:val="nil"/>
          <w:left w:val="nil"/>
          <w:bottom w:val="nil"/>
          <w:right w:val="nil"/>
          <w:between w:val="nil"/>
        </w:pBdr>
        <w:jc w:val="both"/>
        <w:rPr>
          <w:rFonts w:ascii="Arial" w:eastAsia="Arial" w:hAnsi="Arial" w:cs="Arial"/>
          <w:color w:val="000000"/>
          <w:sz w:val="22"/>
          <w:szCs w:val="22"/>
        </w:rPr>
      </w:pPr>
    </w:p>
    <w:p w14:paraId="35C25182" w14:textId="7E34EC56" w:rsidR="008F799B" w:rsidRDefault="008F799B" w:rsidP="008F79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 misión del Centro Estadístico es p</w:t>
      </w:r>
      <w:r w:rsidRPr="008F799B">
        <w:rPr>
          <w:rFonts w:ascii="Arial" w:eastAsia="Arial" w:hAnsi="Arial" w:cs="Arial"/>
          <w:color w:val="000000"/>
          <w:sz w:val="22"/>
          <w:szCs w:val="22"/>
        </w:rPr>
        <w:t>romover una gestión municipal integral, eficaz y participativa, a partir de la obtención y el análisis de la información</w:t>
      </w:r>
      <w:r w:rsidR="00FD2D6B">
        <w:rPr>
          <w:rFonts w:ascii="Arial" w:eastAsia="Arial" w:hAnsi="Arial" w:cs="Arial"/>
          <w:color w:val="000000"/>
          <w:sz w:val="22"/>
          <w:szCs w:val="22"/>
        </w:rPr>
        <w:t xml:space="preserve"> </w:t>
      </w:r>
      <w:r w:rsidRPr="008F799B">
        <w:rPr>
          <w:rFonts w:ascii="Arial" w:eastAsia="Arial" w:hAnsi="Arial" w:cs="Arial"/>
          <w:color w:val="000000"/>
          <w:sz w:val="22"/>
          <w:szCs w:val="22"/>
        </w:rPr>
        <w:t>disponible y la elaboración de estudios propios, abarcando diferentes dimensiones tales como demográfica, económica, social, seguridad, salud, educación, género, entre otras.</w:t>
      </w:r>
    </w:p>
    <w:p w14:paraId="58372B66" w14:textId="7D9E0073" w:rsid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El Centro Estadístico se </w:t>
      </w:r>
      <w:r>
        <w:rPr>
          <w:rFonts w:ascii="Arial" w:eastAsia="Arial" w:hAnsi="Arial" w:cs="Arial"/>
          <w:color w:val="000000"/>
          <w:sz w:val="22"/>
          <w:szCs w:val="22"/>
        </w:rPr>
        <w:t>constituye</w:t>
      </w:r>
      <w:r w:rsidRPr="008F799B">
        <w:rPr>
          <w:rFonts w:ascii="Arial" w:eastAsia="Arial" w:hAnsi="Arial" w:cs="Arial"/>
          <w:color w:val="000000"/>
          <w:sz w:val="22"/>
          <w:szCs w:val="22"/>
        </w:rPr>
        <w:t xml:space="preserve"> como una herramienta de gestión que pon</w:t>
      </w:r>
      <w:r>
        <w:rPr>
          <w:rFonts w:ascii="Arial" w:eastAsia="Arial" w:hAnsi="Arial" w:cs="Arial"/>
          <w:color w:val="000000"/>
          <w:sz w:val="22"/>
          <w:szCs w:val="22"/>
        </w:rPr>
        <w:t>e</w:t>
      </w:r>
      <w:r w:rsidRPr="008F799B">
        <w:rPr>
          <w:rFonts w:ascii="Arial" w:eastAsia="Arial" w:hAnsi="Arial" w:cs="Arial"/>
          <w:color w:val="000000"/>
          <w:sz w:val="22"/>
          <w:szCs w:val="22"/>
        </w:rPr>
        <w:t xml:space="preserve"> a disposición información rigurosa, sobre diferentes problemáticas y aspectos relevantes de la población en particular y ciudad en general, mediante informes y procesamientos geoespaciales de los datos que permitan a los diferentes sectores, públicos y privados, visualizar y tomar decisiones con bases sólidas.</w:t>
      </w:r>
    </w:p>
    <w:p w14:paraId="2AD1D9CC" w14:textId="247F9933" w:rsidR="00F0653C"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Para promover la gestión, el Centro Estadístico brinda herramientas, de manera continua, para optimizar la toma de decisiones, contribuyendo a una mejor comprensión del tema y posibilitando la evaluación de las intervenciones públicas y privadas, así como la generación de nuevas estrategias y acciones de abordaje, con miras a construir una ciudad más productiva, segura e inclusiva.</w:t>
      </w:r>
    </w:p>
    <w:p w14:paraId="31843370" w14:textId="36CABF56" w:rsidR="008F799B" w:rsidRDefault="00A5530F" w:rsidP="008F799B">
      <w:pPr>
        <w:pBdr>
          <w:top w:val="nil"/>
          <w:left w:val="nil"/>
          <w:bottom w:val="nil"/>
          <w:right w:val="nil"/>
          <w:between w:val="nil"/>
        </w:pBdr>
        <w:jc w:val="both"/>
        <w:rPr>
          <w:rFonts w:ascii="Arial" w:eastAsia="Arial" w:hAnsi="Arial" w:cs="Arial"/>
          <w:color w:val="000000"/>
          <w:sz w:val="22"/>
          <w:szCs w:val="22"/>
        </w:rPr>
      </w:pPr>
      <w:r w:rsidRPr="00953D11">
        <w:rPr>
          <w:rFonts w:ascii="Arial" w:eastAsia="Arial" w:hAnsi="Arial" w:cs="Arial"/>
          <w:color w:val="000000"/>
          <w:sz w:val="22"/>
          <w:szCs w:val="22"/>
        </w:rPr>
        <w:t>Con el objetivo de democratizar el acceso a la información generada por el centro estadístico</w:t>
      </w:r>
      <w:r w:rsidR="00AF6BA8" w:rsidRPr="00953D11">
        <w:rPr>
          <w:rFonts w:ascii="Arial" w:eastAsia="Arial" w:hAnsi="Arial" w:cs="Arial"/>
          <w:color w:val="000000"/>
          <w:sz w:val="22"/>
          <w:szCs w:val="22"/>
        </w:rPr>
        <w:t>,</w:t>
      </w:r>
      <w:r w:rsidRPr="00953D11">
        <w:rPr>
          <w:rFonts w:ascii="Arial" w:eastAsia="Arial" w:hAnsi="Arial" w:cs="Arial"/>
          <w:color w:val="000000"/>
          <w:sz w:val="22"/>
          <w:szCs w:val="22"/>
        </w:rPr>
        <w:t xml:space="preserve"> t</w:t>
      </w:r>
      <w:r w:rsidR="00F0653C" w:rsidRPr="00953D11">
        <w:rPr>
          <w:rFonts w:ascii="Arial" w:eastAsia="Arial" w:hAnsi="Arial" w:cs="Arial"/>
          <w:color w:val="000000"/>
          <w:sz w:val="22"/>
          <w:szCs w:val="22"/>
        </w:rPr>
        <w:t xml:space="preserve">oda la producción de indicadores locales se encuentra disponible en el portal web dentro de la </w:t>
      </w:r>
      <w:r w:rsidRPr="00953D11">
        <w:rPr>
          <w:rFonts w:ascii="Arial" w:eastAsia="Arial" w:hAnsi="Arial" w:cs="Arial"/>
          <w:color w:val="000000"/>
          <w:sz w:val="22"/>
          <w:szCs w:val="22"/>
        </w:rPr>
        <w:t>página</w:t>
      </w:r>
      <w:r w:rsidR="00F0653C" w:rsidRPr="00953D11">
        <w:rPr>
          <w:rFonts w:ascii="Arial" w:eastAsia="Arial" w:hAnsi="Arial" w:cs="Arial"/>
          <w:color w:val="000000"/>
          <w:sz w:val="22"/>
          <w:szCs w:val="22"/>
        </w:rPr>
        <w:t xml:space="preserve"> oficial de la ciudad</w:t>
      </w:r>
      <w:r w:rsidR="00AF6BA8" w:rsidRPr="00953D11">
        <w:rPr>
          <w:rFonts w:ascii="Arial" w:eastAsia="Arial" w:hAnsi="Arial" w:cs="Arial"/>
          <w:color w:val="000000"/>
          <w:sz w:val="22"/>
          <w:szCs w:val="22"/>
        </w:rPr>
        <w:t xml:space="preserve">: </w:t>
      </w:r>
      <w:hyperlink r:id="rId9" w:history="1">
        <w:r w:rsidR="00AF6BA8" w:rsidRPr="00953D11">
          <w:rPr>
            <w:rStyle w:val="Hipervnculo"/>
            <w:rFonts w:ascii="Arial" w:eastAsia="Arial" w:hAnsi="Arial" w:cs="Arial"/>
            <w:position w:val="0"/>
            <w:sz w:val="22"/>
            <w:szCs w:val="22"/>
          </w:rPr>
          <w:t>https://portal-villamaria.opendata.arcgis.com</w:t>
        </w:r>
      </w:hyperlink>
      <w:r w:rsidR="00AF6BA8" w:rsidRPr="00953D11">
        <w:rPr>
          <w:rFonts w:ascii="Arial" w:eastAsia="Arial" w:hAnsi="Arial" w:cs="Arial"/>
          <w:color w:val="000000"/>
          <w:sz w:val="22"/>
          <w:szCs w:val="22"/>
        </w:rPr>
        <w:t xml:space="preserve">. El portal del Centro Estadístico se </w:t>
      </w:r>
      <w:r w:rsidRPr="00953D11">
        <w:rPr>
          <w:rFonts w:ascii="Arial" w:eastAsia="Arial" w:hAnsi="Arial" w:cs="Arial"/>
          <w:color w:val="000000"/>
          <w:sz w:val="22"/>
          <w:szCs w:val="22"/>
        </w:rPr>
        <w:t>destac</w:t>
      </w:r>
      <w:r w:rsidR="00AF6BA8" w:rsidRPr="00953D11">
        <w:rPr>
          <w:rFonts w:ascii="Arial" w:eastAsia="Arial" w:hAnsi="Arial" w:cs="Arial"/>
          <w:color w:val="000000"/>
          <w:sz w:val="22"/>
          <w:szCs w:val="22"/>
        </w:rPr>
        <w:t>a</w:t>
      </w:r>
      <w:r w:rsidRPr="00953D11">
        <w:rPr>
          <w:rFonts w:ascii="Arial" w:eastAsia="Arial" w:hAnsi="Arial" w:cs="Arial"/>
          <w:color w:val="000000"/>
          <w:sz w:val="22"/>
          <w:szCs w:val="22"/>
        </w:rPr>
        <w:t xml:space="preserve"> por estar diseñado con un sistema de información geográfico que permite, entre otros, el desarrollo de aplicaci</w:t>
      </w:r>
      <w:r w:rsidR="009238B7">
        <w:rPr>
          <w:rFonts w:ascii="Arial" w:eastAsia="Arial" w:hAnsi="Arial" w:cs="Arial"/>
          <w:color w:val="000000"/>
          <w:sz w:val="22"/>
          <w:szCs w:val="22"/>
        </w:rPr>
        <w:t>o</w:t>
      </w:r>
      <w:r w:rsidRPr="00953D11">
        <w:rPr>
          <w:rFonts w:ascii="Arial" w:eastAsia="Arial" w:hAnsi="Arial" w:cs="Arial"/>
          <w:color w:val="000000"/>
          <w:sz w:val="22"/>
          <w:szCs w:val="22"/>
        </w:rPr>
        <w:t>n</w:t>
      </w:r>
      <w:r w:rsidR="009238B7">
        <w:rPr>
          <w:rFonts w:ascii="Arial" w:eastAsia="Arial" w:hAnsi="Arial" w:cs="Arial"/>
          <w:color w:val="000000"/>
          <w:sz w:val="22"/>
          <w:szCs w:val="22"/>
        </w:rPr>
        <w:t>es</w:t>
      </w:r>
      <w:r w:rsidRPr="00953D11">
        <w:rPr>
          <w:rFonts w:ascii="Arial" w:eastAsia="Arial" w:hAnsi="Arial" w:cs="Arial"/>
          <w:color w:val="000000"/>
          <w:sz w:val="22"/>
          <w:szCs w:val="22"/>
        </w:rPr>
        <w:t xml:space="preserve"> interactivas </w:t>
      </w:r>
      <w:r w:rsidR="00011848" w:rsidRPr="00953D11">
        <w:rPr>
          <w:rFonts w:ascii="Arial" w:eastAsia="Arial" w:hAnsi="Arial" w:cs="Arial"/>
          <w:color w:val="000000"/>
          <w:sz w:val="22"/>
          <w:szCs w:val="22"/>
        </w:rPr>
        <w:t>para promover</w:t>
      </w:r>
      <w:r w:rsidRPr="00953D11">
        <w:rPr>
          <w:rFonts w:ascii="Arial" w:eastAsia="Arial" w:hAnsi="Arial" w:cs="Arial"/>
          <w:color w:val="000000"/>
          <w:sz w:val="22"/>
          <w:szCs w:val="22"/>
        </w:rPr>
        <w:t xml:space="preserve"> la participación ciudadan</w:t>
      </w:r>
      <w:r w:rsidR="00011848" w:rsidRPr="00953D11">
        <w:rPr>
          <w:rFonts w:ascii="Arial" w:eastAsia="Arial" w:hAnsi="Arial" w:cs="Arial"/>
          <w:color w:val="000000"/>
          <w:sz w:val="22"/>
          <w:szCs w:val="22"/>
        </w:rPr>
        <w:t>a</w:t>
      </w:r>
      <w:r w:rsidRPr="00953D11">
        <w:rPr>
          <w:rFonts w:ascii="Arial" w:eastAsia="Arial" w:hAnsi="Arial" w:cs="Arial"/>
          <w:color w:val="000000"/>
          <w:sz w:val="22"/>
          <w:szCs w:val="22"/>
        </w:rPr>
        <w:t>.</w:t>
      </w:r>
      <w:r w:rsidR="00420D9B">
        <w:rPr>
          <w:rFonts w:ascii="Arial" w:eastAsia="Arial" w:hAnsi="Arial" w:cs="Arial"/>
          <w:color w:val="000000"/>
          <w:sz w:val="22"/>
          <w:szCs w:val="22"/>
        </w:rPr>
        <w:t xml:space="preserve"> </w:t>
      </w:r>
    </w:p>
    <w:p w14:paraId="6CB6BDBF" w14:textId="77777777" w:rsidR="008F799B" w:rsidRDefault="008F799B" w:rsidP="008F799B">
      <w:pPr>
        <w:pBdr>
          <w:top w:val="nil"/>
          <w:left w:val="nil"/>
          <w:bottom w:val="nil"/>
          <w:right w:val="nil"/>
          <w:between w:val="nil"/>
        </w:pBdr>
        <w:jc w:val="both"/>
        <w:rPr>
          <w:rFonts w:ascii="Arial" w:eastAsia="Arial" w:hAnsi="Arial" w:cs="Arial"/>
          <w:color w:val="000000"/>
          <w:sz w:val="22"/>
          <w:szCs w:val="22"/>
        </w:rPr>
      </w:pPr>
    </w:p>
    <w:p w14:paraId="118072AF" w14:textId="642ED468" w:rsidR="008F799B" w:rsidRPr="007C289A" w:rsidRDefault="007C289A" w:rsidP="008F799B">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E</w:t>
      </w:r>
      <w:r w:rsidRPr="007C289A">
        <w:rPr>
          <w:rFonts w:ascii="Arial" w:eastAsia="Arial" w:hAnsi="Arial" w:cs="Arial"/>
          <w:b/>
          <w:bCs/>
          <w:color w:val="000000"/>
          <w:sz w:val="22"/>
          <w:szCs w:val="22"/>
        </w:rPr>
        <w:t xml:space="preserve">ncuesta </w:t>
      </w:r>
      <w:r>
        <w:rPr>
          <w:rFonts w:ascii="Arial" w:eastAsia="Arial" w:hAnsi="Arial" w:cs="Arial"/>
          <w:b/>
          <w:bCs/>
          <w:color w:val="000000"/>
          <w:sz w:val="22"/>
          <w:szCs w:val="22"/>
        </w:rPr>
        <w:t>T</w:t>
      </w:r>
      <w:r w:rsidRPr="007C289A">
        <w:rPr>
          <w:rFonts w:ascii="Arial" w:eastAsia="Arial" w:hAnsi="Arial" w:cs="Arial"/>
          <w:b/>
          <w:bCs/>
          <w:color w:val="000000"/>
          <w:sz w:val="22"/>
          <w:szCs w:val="22"/>
        </w:rPr>
        <w:t xml:space="preserve">rimestral de </w:t>
      </w:r>
      <w:r>
        <w:rPr>
          <w:rFonts w:ascii="Arial" w:eastAsia="Arial" w:hAnsi="Arial" w:cs="Arial"/>
          <w:b/>
          <w:bCs/>
          <w:color w:val="000000"/>
          <w:sz w:val="22"/>
          <w:szCs w:val="22"/>
        </w:rPr>
        <w:t>H</w:t>
      </w:r>
      <w:r w:rsidRPr="007C289A">
        <w:rPr>
          <w:rFonts w:ascii="Arial" w:eastAsia="Arial" w:hAnsi="Arial" w:cs="Arial"/>
          <w:b/>
          <w:bCs/>
          <w:color w:val="000000"/>
          <w:sz w:val="22"/>
          <w:szCs w:val="22"/>
        </w:rPr>
        <w:t>ogares</w:t>
      </w:r>
    </w:p>
    <w:p w14:paraId="4A742D4E" w14:textId="77777777" w:rsidR="00FE25BC" w:rsidRDefault="008F799B" w:rsidP="009B57A8">
      <w:pPr>
        <w:pBdr>
          <w:top w:val="nil"/>
          <w:left w:val="nil"/>
          <w:bottom w:val="nil"/>
          <w:right w:val="nil"/>
          <w:between w:val="nil"/>
        </w:pBdr>
        <w:ind w:left="720" w:hanging="720"/>
        <w:jc w:val="both"/>
        <w:rPr>
          <w:rFonts w:ascii="Arial" w:eastAsia="Arial" w:hAnsi="Arial" w:cs="Arial"/>
          <w:color w:val="000000"/>
          <w:sz w:val="22"/>
          <w:szCs w:val="22"/>
        </w:rPr>
      </w:pPr>
      <w:r w:rsidRPr="008F799B">
        <w:rPr>
          <w:rFonts w:ascii="Arial" w:eastAsia="Arial" w:hAnsi="Arial" w:cs="Arial"/>
          <w:color w:val="000000"/>
          <w:sz w:val="22"/>
          <w:szCs w:val="22"/>
        </w:rPr>
        <w:t>La Encuesta Trimestral de Hogares (ETH) se constituye como el primer programa</w:t>
      </w:r>
    </w:p>
    <w:p w14:paraId="15234798" w14:textId="77777777" w:rsidR="00231FC3" w:rsidRDefault="008F799B" w:rsidP="009B57A8">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sistemático de recolección de datos para la elaboración de indicadores locales.</w:t>
      </w:r>
    </w:p>
    <w:p w14:paraId="6F7E3EEC" w14:textId="452AB7C2" w:rsidR="00231FC3" w:rsidRDefault="008F799B" w:rsidP="009B57A8">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Este programa se puso en funcionamiento a partir de marzo de 2018 y se repite</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de manera trimestral. El instrumento de recolección de información está</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conformado por formularios cuyas preguntas abarcan lo habitacional, las</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características del hogar y de cada miembro del mismo, profundizando en</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preguntas acerca de las actividades económicas de las personas mayores de 10</w:t>
      </w:r>
    </w:p>
    <w:p w14:paraId="68BC818E" w14:textId="77777777" w:rsidR="00231FC3" w:rsidRPr="00D11779" w:rsidRDefault="008F799B" w:rsidP="009B57A8">
      <w:pPr>
        <w:pBdr>
          <w:top w:val="nil"/>
          <w:left w:val="nil"/>
          <w:bottom w:val="nil"/>
          <w:right w:val="nil"/>
          <w:between w:val="nil"/>
        </w:pBdr>
        <w:ind w:left="720" w:hanging="720"/>
        <w:jc w:val="both"/>
        <w:rPr>
          <w:rFonts w:ascii="Arial" w:eastAsia="Arial" w:hAnsi="Arial" w:cs="Arial"/>
          <w:color w:val="000000"/>
          <w:sz w:val="22"/>
          <w:szCs w:val="22"/>
        </w:rPr>
      </w:pPr>
      <w:r w:rsidRPr="008F799B">
        <w:rPr>
          <w:rFonts w:ascii="Arial" w:eastAsia="Arial" w:hAnsi="Arial" w:cs="Arial"/>
          <w:color w:val="000000"/>
          <w:sz w:val="22"/>
          <w:szCs w:val="22"/>
        </w:rPr>
        <w:t xml:space="preserve">años. Nuestro instrumento fue elaborado a partir de </w:t>
      </w:r>
      <w:r w:rsidRPr="00D11779">
        <w:rPr>
          <w:rFonts w:ascii="Arial" w:eastAsia="Arial" w:hAnsi="Arial" w:cs="Arial"/>
          <w:color w:val="000000"/>
          <w:sz w:val="22"/>
          <w:szCs w:val="22"/>
        </w:rPr>
        <w:t>la EPH (Encuesta Permanente</w:t>
      </w:r>
    </w:p>
    <w:p w14:paraId="07BC599A" w14:textId="4BD4DFB6" w:rsidR="008F799B" w:rsidRPr="00BB56CD" w:rsidRDefault="008F799B" w:rsidP="00BB56CD">
      <w:pPr>
        <w:pBdr>
          <w:top w:val="nil"/>
          <w:left w:val="nil"/>
          <w:bottom w:val="nil"/>
          <w:right w:val="nil"/>
          <w:between w:val="nil"/>
        </w:pBdr>
        <w:jc w:val="both"/>
        <w:rPr>
          <w:rFonts w:ascii="Arial" w:eastAsia="Arial" w:hAnsi="Arial" w:cs="Arial"/>
          <w:color w:val="000000"/>
          <w:sz w:val="22"/>
          <w:szCs w:val="22"/>
          <w:highlight w:val="darkYellow"/>
        </w:rPr>
      </w:pPr>
      <w:r w:rsidRPr="00D11779">
        <w:rPr>
          <w:rFonts w:ascii="Arial" w:eastAsia="Arial" w:hAnsi="Arial" w:cs="Arial"/>
          <w:color w:val="000000"/>
          <w:sz w:val="22"/>
          <w:szCs w:val="22"/>
        </w:rPr>
        <w:t>de Hogares) construida y validada por INDEC (Instituto Nacional de Estadísticas</w:t>
      </w:r>
      <w:r w:rsidR="00BB56CD" w:rsidRPr="00D11779">
        <w:rPr>
          <w:rFonts w:ascii="Arial" w:eastAsia="Arial" w:hAnsi="Arial" w:cs="Arial"/>
          <w:color w:val="000000"/>
          <w:sz w:val="22"/>
          <w:szCs w:val="22"/>
        </w:rPr>
        <w:t xml:space="preserve"> </w:t>
      </w:r>
      <w:r w:rsidRPr="00D11779">
        <w:rPr>
          <w:rFonts w:ascii="Arial" w:eastAsia="Arial" w:hAnsi="Arial" w:cs="Arial"/>
          <w:color w:val="000000"/>
          <w:sz w:val="22"/>
          <w:szCs w:val="22"/>
        </w:rPr>
        <w:t>y Censos). Cada seis meses se incorporan formularios dirigidos a personas</w:t>
      </w:r>
      <w:r w:rsidR="00BB56CD" w:rsidRPr="00D11779">
        <w:rPr>
          <w:rFonts w:ascii="Arial" w:eastAsia="Arial" w:hAnsi="Arial" w:cs="Arial"/>
          <w:color w:val="000000"/>
          <w:sz w:val="22"/>
          <w:szCs w:val="22"/>
        </w:rPr>
        <w:t xml:space="preserve"> </w:t>
      </w:r>
      <w:r w:rsidRPr="00D11779">
        <w:rPr>
          <w:rFonts w:ascii="Arial" w:eastAsia="Arial" w:hAnsi="Arial" w:cs="Arial"/>
          <w:color w:val="000000"/>
          <w:sz w:val="22"/>
          <w:szCs w:val="22"/>
        </w:rPr>
        <w:t>mayores de 18 años, referidos a la percepc</w:t>
      </w:r>
      <w:r w:rsidRPr="008F799B">
        <w:rPr>
          <w:rFonts w:ascii="Arial" w:eastAsia="Arial" w:hAnsi="Arial" w:cs="Arial"/>
          <w:color w:val="000000"/>
          <w:sz w:val="22"/>
          <w:szCs w:val="22"/>
        </w:rPr>
        <w:t>ión de seguridad de la ciudadanía y a</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 xml:space="preserve">la victimización. Estos formularios fueron perfilados a </w:t>
      </w:r>
      <w:r w:rsidRPr="00591F9F">
        <w:rPr>
          <w:rFonts w:ascii="Arial" w:eastAsia="Arial" w:hAnsi="Arial" w:cs="Arial"/>
          <w:color w:val="000000"/>
          <w:sz w:val="22"/>
          <w:szCs w:val="22"/>
        </w:rPr>
        <w:t>partir de la ENV 2017</w:t>
      </w:r>
      <w:r w:rsidR="00BB56CD" w:rsidRPr="00591F9F">
        <w:rPr>
          <w:rFonts w:ascii="Arial" w:eastAsia="Arial" w:hAnsi="Arial" w:cs="Arial"/>
          <w:color w:val="000000"/>
          <w:sz w:val="22"/>
          <w:szCs w:val="22"/>
        </w:rPr>
        <w:t xml:space="preserve"> </w:t>
      </w:r>
      <w:r w:rsidRPr="00591F9F">
        <w:rPr>
          <w:rFonts w:ascii="Arial" w:eastAsia="Arial" w:hAnsi="Arial" w:cs="Arial"/>
          <w:color w:val="000000"/>
          <w:sz w:val="22"/>
          <w:szCs w:val="22"/>
        </w:rPr>
        <w:t>(Encuesta Nacional de Victimización 2017) también elaborada por INDEC. Es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importante destacar que</w:t>
      </w:r>
      <w:r>
        <w:rPr>
          <w:rFonts w:ascii="Arial" w:eastAsia="Arial" w:hAnsi="Arial" w:cs="Arial"/>
          <w:color w:val="000000"/>
          <w:sz w:val="22"/>
          <w:szCs w:val="22"/>
        </w:rPr>
        <w:t>,</w:t>
      </w:r>
      <w:r w:rsidRPr="008F799B">
        <w:rPr>
          <w:rFonts w:ascii="Arial" w:eastAsia="Arial" w:hAnsi="Arial" w:cs="Arial"/>
          <w:color w:val="000000"/>
          <w:sz w:val="22"/>
          <w:szCs w:val="22"/>
        </w:rPr>
        <w:t xml:space="preserve"> como toda encuesta probabilística, los resultados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obtenidos son valores que estiman el verdadero valor objetivo (tasa o prevalencia</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de interés) por lo cual deben interpretarse de esa manera y no como verdade</w:t>
      </w:r>
      <w:r w:rsidR="00231FC3">
        <w:rPr>
          <w:rFonts w:ascii="Arial" w:eastAsia="Arial" w:hAnsi="Arial" w:cs="Arial"/>
          <w:color w:val="000000"/>
          <w:sz w:val="22"/>
          <w:szCs w:val="22"/>
        </w:rPr>
        <w:t>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exactas.</w:t>
      </w:r>
    </w:p>
    <w:p w14:paraId="1C21A056" w14:textId="450AC0ED" w:rsidR="008F799B" w:rsidRDefault="008F799B" w:rsidP="008F799B">
      <w:pPr>
        <w:pBdr>
          <w:top w:val="nil"/>
          <w:left w:val="nil"/>
          <w:bottom w:val="nil"/>
          <w:right w:val="nil"/>
          <w:between w:val="nil"/>
        </w:pBdr>
        <w:jc w:val="both"/>
        <w:rPr>
          <w:rFonts w:ascii="Arial" w:eastAsia="Arial" w:hAnsi="Arial" w:cs="Arial"/>
          <w:color w:val="000000"/>
          <w:sz w:val="22"/>
          <w:szCs w:val="22"/>
        </w:rPr>
      </w:pPr>
      <w:r w:rsidRPr="005F088C">
        <w:rPr>
          <w:rFonts w:ascii="Arial" w:eastAsia="Arial" w:hAnsi="Arial" w:cs="Arial"/>
          <w:color w:val="000000"/>
          <w:sz w:val="22"/>
          <w:szCs w:val="22"/>
        </w:rPr>
        <w:t xml:space="preserve">En el esquema se puede observar la estructuración de la muestra estratificada y seleccionada de manera aleatoria dentro de cada estrato (barrio de la ciudad). Es importante destacar que la estructura de datos es de tipo panel, debido a que los </w:t>
      </w:r>
      <w:r w:rsidRPr="005F088C">
        <w:rPr>
          <w:rFonts w:ascii="Arial" w:eastAsia="Arial" w:hAnsi="Arial" w:cs="Arial"/>
          <w:color w:val="000000"/>
          <w:sz w:val="22"/>
          <w:szCs w:val="22"/>
        </w:rPr>
        <w:lastRenderedPageBreak/>
        <w:t>hogares participantes son fijos y no se proponen modelos de rotación de la muestra</w:t>
      </w:r>
      <w:r w:rsidR="00835D8E" w:rsidRPr="005F088C">
        <w:rPr>
          <w:rFonts w:ascii="Arial" w:eastAsia="Arial" w:hAnsi="Arial" w:cs="Arial"/>
          <w:color w:val="000000"/>
          <w:sz w:val="22"/>
          <w:szCs w:val="22"/>
        </w:rPr>
        <w:t xml:space="preserve">. </w:t>
      </w:r>
      <w:r w:rsidR="005D602E" w:rsidRPr="005F088C">
        <w:rPr>
          <w:rFonts w:ascii="Arial" w:eastAsia="Arial" w:hAnsi="Arial" w:cs="Arial"/>
          <w:color w:val="000000"/>
          <w:sz w:val="22"/>
          <w:szCs w:val="22"/>
        </w:rPr>
        <w:t>Cada tres meses, un equipo de encuestadores (alumnos avanzados de la Universidad Nacional de Villa María) realiza un despliegue territorial con el objetivo de aplicar la ETH de manera georreferenciada a parti</w:t>
      </w:r>
      <w:r w:rsidR="00835D8E" w:rsidRPr="005F088C">
        <w:rPr>
          <w:rFonts w:ascii="Arial" w:eastAsia="Arial" w:hAnsi="Arial" w:cs="Arial"/>
          <w:color w:val="000000"/>
          <w:sz w:val="22"/>
          <w:szCs w:val="22"/>
        </w:rPr>
        <w:t>r</w:t>
      </w:r>
      <w:r w:rsidR="005D602E" w:rsidRPr="005F088C">
        <w:rPr>
          <w:rFonts w:ascii="Arial" w:eastAsia="Arial" w:hAnsi="Arial" w:cs="Arial"/>
          <w:color w:val="000000"/>
          <w:sz w:val="22"/>
          <w:szCs w:val="22"/>
        </w:rPr>
        <w:t xml:space="preserve"> de formularios </w:t>
      </w:r>
      <w:r w:rsidR="00835D8E" w:rsidRPr="005F088C">
        <w:rPr>
          <w:rFonts w:ascii="Arial" w:eastAsia="Arial" w:hAnsi="Arial" w:cs="Arial"/>
          <w:color w:val="000000"/>
          <w:sz w:val="22"/>
          <w:szCs w:val="22"/>
        </w:rPr>
        <w:t>geo inteligentes</w:t>
      </w:r>
      <w:r w:rsidR="005D602E" w:rsidRPr="005F088C">
        <w:rPr>
          <w:rFonts w:ascii="Arial" w:eastAsia="Arial" w:hAnsi="Arial" w:cs="Arial"/>
          <w:color w:val="000000"/>
          <w:sz w:val="22"/>
          <w:szCs w:val="22"/>
        </w:rPr>
        <w:t>. Posteriormente,</w:t>
      </w:r>
      <w:r w:rsidR="00835D8E" w:rsidRPr="005F088C">
        <w:rPr>
          <w:rFonts w:ascii="Arial" w:eastAsia="Arial" w:hAnsi="Arial" w:cs="Arial"/>
          <w:color w:val="000000"/>
          <w:sz w:val="22"/>
          <w:szCs w:val="22"/>
        </w:rPr>
        <w:t xml:space="preserve"> </w:t>
      </w:r>
      <w:r w:rsidR="005D602E" w:rsidRPr="005F088C">
        <w:rPr>
          <w:rFonts w:ascii="Arial" w:eastAsia="Arial" w:hAnsi="Arial" w:cs="Arial"/>
          <w:color w:val="000000"/>
          <w:sz w:val="22"/>
          <w:szCs w:val="22"/>
        </w:rPr>
        <w:t xml:space="preserve">se realizan los procesamientos </w:t>
      </w:r>
      <w:r w:rsidR="00835D8E" w:rsidRPr="005F088C">
        <w:rPr>
          <w:rFonts w:ascii="Arial" w:eastAsia="Arial" w:hAnsi="Arial" w:cs="Arial"/>
          <w:color w:val="000000"/>
          <w:sz w:val="22"/>
          <w:szCs w:val="22"/>
        </w:rPr>
        <w:t>estadísticos</w:t>
      </w:r>
      <w:r w:rsidR="005D602E" w:rsidRPr="005F088C">
        <w:rPr>
          <w:rFonts w:ascii="Arial" w:eastAsia="Arial" w:hAnsi="Arial" w:cs="Arial"/>
          <w:color w:val="000000"/>
          <w:sz w:val="22"/>
          <w:szCs w:val="22"/>
        </w:rPr>
        <w:t xml:space="preserve"> correspondientes que garantizan la calidad de la </w:t>
      </w:r>
      <w:r w:rsidR="005F088C" w:rsidRPr="005F088C">
        <w:rPr>
          <w:rFonts w:ascii="Arial" w:eastAsia="Arial" w:hAnsi="Arial" w:cs="Arial"/>
          <w:color w:val="000000"/>
          <w:sz w:val="22"/>
          <w:szCs w:val="22"/>
        </w:rPr>
        <w:t>estimación de</w:t>
      </w:r>
      <w:r w:rsidR="00A620E0" w:rsidRPr="005F088C">
        <w:rPr>
          <w:rFonts w:ascii="Arial" w:eastAsia="Arial" w:hAnsi="Arial" w:cs="Arial"/>
          <w:color w:val="000000"/>
          <w:sz w:val="22"/>
          <w:szCs w:val="22"/>
        </w:rPr>
        <w:t xml:space="preserve"> los indicadores y la actualización automatizada de los datos del portal web. De esta manera los ciudadanos pueden acceder a los indicadores actualizados.</w:t>
      </w:r>
    </w:p>
    <w:p w14:paraId="613DEB0D" w14:textId="77777777" w:rsidR="005F088C" w:rsidRDefault="005F088C" w:rsidP="008F799B">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177EE4" w14:paraId="1E895DBC" w14:textId="77777777" w:rsidTr="00177EE4">
        <w:tc>
          <w:tcPr>
            <w:tcW w:w="7926" w:type="dxa"/>
          </w:tcPr>
          <w:p w14:paraId="730193A0" w14:textId="4AC05692" w:rsidR="00177EE4" w:rsidRDefault="00177EE4" w:rsidP="00177EE4">
            <w:pPr>
              <w:jc w:val="center"/>
              <w:rPr>
                <w:rFonts w:ascii="Arial" w:eastAsia="Arial" w:hAnsi="Arial" w:cs="Arial"/>
                <w:color w:val="000000"/>
                <w:sz w:val="22"/>
                <w:szCs w:val="22"/>
              </w:rPr>
            </w:pPr>
            <w:r>
              <w:rPr>
                <w:noProof/>
                <w:lang w:val="es-AR"/>
              </w:rPr>
              <w:drawing>
                <wp:inline distT="0" distB="0" distL="0" distR="0" wp14:anchorId="4FC603AB" wp14:editId="27C0FA16">
                  <wp:extent cx="3906982" cy="22193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89" t="28911" r="18725" b="6544"/>
                          <a:stretch/>
                        </pic:blipFill>
                        <pic:spPr bwMode="auto">
                          <a:xfrm>
                            <a:off x="0" y="0"/>
                            <a:ext cx="3910511" cy="2221356"/>
                          </a:xfrm>
                          <a:prstGeom prst="rect">
                            <a:avLst/>
                          </a:prstGeom>
                          <a:ln>
                            <a:noFill/>
                          </a:ln>
                          <a:extLst>
                            <a:ext uri="{53640926-AAD7-44D8-BBD7-CCE9431645EC}">
                              <a14:shadowObscured xmlns:a14="http://schemas.microsoft.com/office/drawing/2010/main"/>
                            </a:ext>
                          </a:extLst>
                        </pic:spPr>
                      </pic:pic>
                    </a:graphicData>
                  </a:graphic>
                </wp:inline>
              </w:drawing>
            </w:r>
          </w:p>
        </w:tc>
      </w:tr>
      <w:tr w:rsidR="00177EE4" w14:paraId="510800F2" w14:textId="77777777" w:rsidTr="00177EE4">
        <w:tc>
          <w:tcPr>
            <w:tcW w:w="7926" w:type="dxa"/>
          </w:tcPr>
          <w:p w14:paraId="16DDAB79" w14:textId="6E61883A" w:rsidR="004C0C92" w:rsidRDefault="00134057" w:rsidP="004C0C92">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7E37FB">
              <w:rPr>
                <w:rFonts w:ascii="Arial" w:eastAsia="Arial" w:hAnsi="Arial" w:cs="Arial"/>
                <w:color w:val="000000"/>
                <w:sz w:val="18"/>
                <w:szCs w:val="18"/>
              </w:rPr>
              <w:t>2</w:t>
            </w:r>
            <w:r>
              <w:rPr>
                <w:rFonts w:ascii="Arial" w:eastAsia="Arial" w:hAnsi="Arial" w:cs="Arial"/>
                <w:color w:val="000000"/>
                <w:sz w:val="18"/>
                <w:szCs w:val="18"/>
              </w:rPr>
              <w:t xml:space="preserve">. </w:t>
            </w:r>
            <w:r w:rsidR="004C0C92">
              <w:rPr>
                <w:rFonts w:ascii="Arial" w:eastAsia="Arial" w:hAnsi="Arial" w:cs="Arial"/>
                <w:color w:val="000000"/>
                <w:sz w:val="18"/>
                <w:szCs w:val="18"/>
              </w:rPr>
              <w:t>Esquema de</w:t>
            </w:r>
            <w:r w:rsidR="00DE3671">
              <w:rPr>
                <w:rFonts w:ascii="Arial" w:eastAsia="Arial" w:hAnsi="Arial" w:cs="Arial"/>
                <w:color w:val="000000"/>
                <w:sz w:val="18"/>
                <w:szCs w:val="18"/>
              </w:rPr>
              <w:t>l flujo de trabajo del programa de E</w:t>
            </w:r>
            <w:r w:rsidR="00D85EED">
              <w:rPr>
                <w:rFonts w:ascii="Arial" w:eastAsia="Arial" w:hAnsi="Arial" w:cs="Arial"/>
                <w:color w:val="000000"/>
                <w:sz w:val="18"/>
                <w:szCs w:val="18"/>
              </w:rPr>
              <w:t>ncuesta Trimestral de Hogares (E</w:t>
            </w:r>
            <w:r w:rsidR="00DE3671">
              <w:rPr>
                <w:rFonts w:ascii="Arial" w:eastAsia="Arial" w:hAnsi="Arial" w:cs="Arial"/>
                <w:color w:val="000000"/>
                <w:sz w:val="18"/>
                <w:szCs w:val="18"/>
              </w:rPr>
              <w:t>TH</w:t>
            </w:r>
            <w:r w:rsidR="00D85EED">
              <w:rPr>
                <w:rFonts w:ascii="Arial" w:eastAsia="Arial" w:hAnsi="Arial" w:cs="Arial"/>
                <w:color w:val="000000"/>
                <w:sz w:val="18"/>
                <w:szCs w:val="18"/>
              </w:rPr>
              <w:t>)</w:t>
            </w:r>
            <w:r w:rsidR="00DE3671">
              <w:rPr>
                <w:rFonts w:ascii="Arial" w:eastAsia="Arial" w:hAnsi="Arial" w:cs="Arial"/>
                <w:color w:val="000000"/>
                <w:sz w:val="18"/>
                <w:szCs w:val="18"/>
              </w:rPr>
              <w:t>.</w:t>
            </w:r>
          </w:p>
        </w:tc>
      </w:tr>
    </w:tbl>
    <w:p w14:paraId="058ED7AA" w14:textId="656AA7B8" w:rsidR="00177EE4" w:rsidRDefault="00177EE4" w:rsidP="008F799B">
      <w:pPr>
        <w:pBdr>
          <w:top w:val="nil"/>
          <w:left w:val="nil"/>
          <w:bottom w:val="nil"/>
          <w:right w:val="nil"/>
          <w:between w:val="nil"/>
        </w:pBdr>
        <w:jc w:val="both"/>
        <w:rPr>
          <w:rFonts w:ascii="Arial" w:eastAsia="Arial" w:hAnsi="Arial" w:cs="Arial"/>
          <w:color w:val="000000"/>
          <w:sz w:val="22"/>
          <w:szCs w:val="22"/>
        </w:rPr>
      </w:pPr>
    </w:p>
    <w:p w14:paraId="50DBF8D8" w14:textId="7B8EC22A" w:rsidR="00B307B1" w:rsidRPr="007C289A" w:rsidRDefault="007C289A" w:rsidP="00B307B1">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M</w:t>
      </w:r>
      <w:r w:rsidRPr="007C289A">
        <w:rPr>
          <w:rFonts w:ascii="Arial" w:eastAsia="Arial" w:hAnsi="Arial" w:cs="Arial"/>
          <w:b/>
          <w:bCs/>
          <w:color w:val="000000"/>
          <w:sz w:val="22"/>
          <w:szCs w:val="22"/>
        </w:rPr>
        <w:t>odernización del estado</w:t>
      </w:r>
    </w:p>
    <w:p w14:paraId="21E65B40" w14:textId="752E9614" w:rsidR="00B307B1" w:rsidRPr="00B307B1" w:rsidRDefault="00B307B1" w:rsidP="00B307B1">
      <w:pPr>
        <w:pBdr>
          <w:top w:val="nil"/>
          <w:left w:val="nil"/>
          <w:bottom w:val="nil"/>
          <w:right w:val="nil"/>
          <w:between w:val="nil"/>
        </w:pBdr>
        <w:jc w:val="both"/>
        <w:rPr>
          <w:rFonts w:ascii="Arial" w:eastAsia="Arial" w:hAnsi="Arial" w:cs="Arial"/>
          <w:color w:val="000000"/>
          <w:sz w:val="22"/>
          <w:szCs w:val="22"/>
        </w:rPr>
      </w:pPr>
      <w:r w:rsidRPr="00B307B1">
        <w:rPr>
          <w:rFonts w:ascii="Arial" w:eastAsia="Arial" w:hAnsi="Arial" w:cs="Arial"/>
          <w:color w:val="000000"/>
          <w:sz w:val="22"/>
          <w:szCs w:val="22"/>
        </w:rPr>
        <w:t xml:space="preserve">Desde </w:t>
      </w:r>
      <w:r w:rsidR="006B2821">
        <w:rPr>
          <w:rFonts w:ascii="Arial" w:eastAsia="Arial" w:hAnsi="Arial" w:cs="Arial"/>
          <w:color w:val="000000"/>
          <w:sz w:val="22"/>
          <w:szCs w:val="22"/>
        </w:rPr>
        <w:t>la</w:t>
      </w:r>
      <w:r w:rsidRPr="00B307B1">
        <w:rPr>
          <w:rFonts w:ascii="Arial" w:eastAsia="Arial" w:hAnsi="Arial" w:cs="Arial"/>
          <w:color w:val="000000"/>
          <w:sz w:val="22"/>
          <w:szCs w:val="22"/>
        </w:rPr>
        <w:t xml:space="preserve"> Secretaría de Economía y Modernización </w:t>
      </w:r>
      <w:r w:rsidR="006B2821">
        <w:rPr>
          <w:rFonts w:ascii="Arial" w:eastAsia="Arial" w:hAnsi="Arial" w:cs="Arial"/>
          <w:color w:val="000000"/>
          <w:sz w:val="22"/>
          <w:szCs w:val="22"/>
        </w:rPr>
        <w:t xml:space="preserve">se entiende </w:t>
      </w:r>
      <w:r w:rsidRPr="00B307B1">
        <w:rPr>
          <w:rFonts w:ascii="Arial" w:eastAsia="Arial" w:hAnsi="Arial" w:cs="Arial"/>
          <w:color w:val="000000"/>
          <w:sz w:val="22"/>
          <w:szCs w:val="22"/>
        </w:rPr>
        <w:t xml:space="preserve">que la modernización del Estado debe ser integral y transversal a la gestión del municipio, por lo que llevarla adelante implica promover políticas para favorecer el acceso de los ciudadanos a la información pública, con el objetivo de impulsar una comunicación </w:t>
      </w:r>
      <w:r w:rsidRPr="005F4FB1">
        <w:rPr>
          <w:rFonts w:ascii="Arial" w:eastAsia="Arial" w:hAnsi="Arial" w:cs="Arial"/>
          <w:color w:val="000000"/>
          <w:sz w:val="22"/>
          <w:szCs w:val="22"/>
        </w:rPr>
        <w:t xml:space="preserve">compartida y colectiva de los resultados, para que los mismos sean socialmente valorados. La modernización de la gestión y el desarrollo de estrategias de innovación debe tener como objetivo principal lograr una </w:t>
      </w:r>
      <w:r w:rsidR="00DB4469" w:rsidRPr="005F4FB1">
        <w:rPr>
          <w:rFonts w:ascii="Arial" w:eastAsia="Arial" w:hAnsi="Arial" w:cs="Arial"/>
          <w:color w:val="000000"/>
          <w:sz w:val="22"/>
          <w:szCs w:val="22"/>
        </w:rPr>
        <w:t xml:space="preserve">optimización de la </w:t>
      </w:r>
      <w:r w:rsidRPr="005F4FB1">
        <w:rPr>
          <w:rFonts w:ascii="Arial" w:eastAsia="Arial" w:hAnsi="Arial" w:cs="Arial"/>
          <w:color w:val="000000"/>
          <w:sz w:val="22"/>
          <w:szCs w:val="22"/>
        </w:rPr>
        <w:t>administración pública</w:t>
      </w:r>
      <w:r w:rsidR="00DB4469" w:rsidRPr="005F4FB1">
        <w:rPr>
          <w:rFonts w:ascii="Arial" w:eastAsia="Arial" w:hAnsi="Arial" w:cs="Arial"/>
          <w:color w:val="000000"/>
          <w:sz w:val="22"/>
          <w:szCs w:val="22"/>
        </w:rPr>
        <w:t>.</w:t>
      </w:r>
    </w:p>
    <w:p w14:paraId="1D47657E" w14:textId="60565644" w:rsidR="00B307B1" w:rsidRPr="00B307B1" w:rsidRDefault="002F0646" w:rsidP="00B307B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Esta modernización </w:t>
      </w:r>
      <w:r w:rsidR="00B307B1" w:rsidRPr="00B307B1">
        <w:rPr>
          <w:rFonts w:ascii="Arial" w:eastAsia="Arial" w:hAnsi="Arial" w:cs="Arial"/>
          <w:color w:val="000000"/>
          <w:sz w:val="22"/>
          <w:szCs w:val="22"/>
        </w:rPr>
        <w:t xml:space="preserve">busca mejorar las capacidades del Estado, ya que es una tarea necesaria para el desarrollo económico, productivo y social de nuestra ciudad. </w:t>
      </w:r>
      <w:r w:rsidR="005F4FB1">
        <w:rPr>
          <w:rFonts w:ascii="Arial" w:eastAsia="Arial" w:hAnsi="Arial" w:cs="Arial"/>
          <w:color w:val="000000"/>
          <w:sz w:val="22"/>
          <w:szCs w:val="22"/>
        </w:rPr>
        <w:t>Se ha</w:t>
      </w:r>
      <w:r w:rsidR="00B307B1" w:rsidRPr="00B307B1">
        <w:rPr>
          <w:rFonts w:ascii="Arial" w:eastAsia="Arial" w:hAnsi="Arial" w:cs="Arial"/>
          <w:color w:val="000000"/>
          <w:sz w:val="22"/>
          <w:szCs w:val="22"/>
        </w:rPr>
        <w:t xml:space="preserve"> tomado la decisión de avanzar con esta misión, con la certeza de que es un proceso que busca garantizar los objetivos de la administración local, en pos de un gobierno sólido, moderno y eficiente.</w:t>
      </w:r>
    </w:p>
    <w:p w14:paraId="570D51F0" w14:textId="77777777" w:rsidR="00B307B1" w:rsidRPr="00B307B1" w:rsidRDefault="00B307B1" w:rsidP="00B307B1">
      <w:pPr>
        <w:pBdr>
          <w:top w:val="nil"/>
          <w:left w:val="nil"/>
          <w:bottom w:val="nil"/>
          <w:right w:val="nil"/>
          <w:between w:val="nil"/>
        </w:pBdr>
        <w:jc w:val="both"/>
        <w:rPr>
          <w:rFonts w:ascii="Arial" w:eastAsia="Arial" w:hAnsi="Arial" w:cs="Arial"/>
          <w:color w:val="000000"/>
          <w:sz w:val="22"/>
          <w:szCs w:val="22"/>
        </w:rPr>
      </w:pPr>
      <w:r w:rsidRPr="00B307B1">
        <w:rPr>
          <w:rFonts w:ascii="Arial" w:eastAsia="Arial" w:hAnsi="Arial" w:cs="Arial"/>
          <w:color w:val="000000"/>
          <w:sz w:val="22"/>
          <w:szCs w:val="22"/>
        </w:rPr>
        <w:t>Gestionar y administrar los recursos públicos con responsabilidad, previsibilidad y máxima eficiencia, es la finalidad que tiene nuestra Secretaría de Economía y Modernización, proporcionando a la gestión pública, herramientas e instrumentos que contribuyan a optimizar la administración estatal.</w:t>
      </w:r>
    </w:p>
    <w:p w14:paraId="1EBBEE17" w14:textId="2412D1E4" w:rsidR="003F0CF8" w:rsidRDefault="00B307B1" w:rsidP="00DE7383">
      <w:pPr>
        <w:pBdr>
          <w:top w:val="nil"/>
          <w:left w:val="nil"/>
          <w:bottom w:val="nil"/>
          <w:right w:val="nil"/>
          <w:between w:val="nil"/>
        </w:pBdr>
        <w:jc w:val="both"/>
        <w:rPr>
          <w:rFonts w:ascii="Arial" w:eastAsia="Arial" w:hAnsi="Arial" w:cs="Arial"/>
          <w:color w:val="000000"/>
          <w:sz w:val="8"/>
          <w:szCs w:val="8"/>
        </w:rPr>
      </w:pPr>
      <w:r w:rsidRPr="00B307B1">
        <w:rPr>
          <w:rFonts w:ascii="Arial" w:eastAsia="Arial" w:hAnsi="Arial" w:cs="Arial"/>
          <w:color w:val="000000"/>
          <w:sz w:val="22"/>
          <w:szCs w:val="22"/>
        </w:rPr>
        <w:lastRenderedPageBreak/>
        <w:t xml:space="preserve">Actualmente, nuestra principal innovación está en el desarrollo de herramientas e instrumentos </w:t>
      </w:r>
      <w:r w:rsidR="00164908" w:rsidRPr="00B307B1">
        <w:rPr>
          <w:rFonts w:ascii="Arial" w:eastAsia="Arial" w:hAnsi="Arial" w:cs="Arial"/>
          <w:color w:val="000000"/>
          <w:sz w:val="22"/>
          <w:szCs w:val="22"/>
        </w:rPr>
        <w:t>geo inteligentes</w:t>
      </w:r>
      <w:r w:rsidRPr="00B307B1">
        <w:rPr>
          <w:rFonts w:ascii="Arial" w:eastAsia="Arial" w:hAnsi="Arial" w:cs="Arial"/>
          <w:color w:val="000000"/>
          <w:sz w:val="22"/>
          <w:szCs w:val="22"/>
        </w:rPr>
        <w:t xml:space="preserve"> para la gestión de información, que permitan agilizar la comunicación con nuestros ciudadanos, la gestión interna y que al mismo tiempo y de manera online, se visualicen </w:t>
      </w:r>
      <w:r w:rsidRPr="005F4FB1">
        <w:rPr>
          <w:rFonts w:ascii="Arial" w:eastAsia="Arial" w:hAnsi="Arial" w:cs="Arial"/>
          <w:color w:val="000000"/>
          <w:sz w:val="22"/>
          <w:szCs w:val="22"/>
        </w:rPr>
        <w:t xml:space="preserve">indicadores </w:t>
      </w:r>
      <w:r w:rsidR="00E96173" w:rsidRPr="005F4FB1">
        <w:rPr>
          <w:rFonts w:ascii="Arial" w:eastAsia="Arial" w:hAnsi="Arial" w:cs="Arial"/>
          <w:color w:val="000000"/>
          <w:sz w:val="22"/>
          <w:szCs w:val="22"/>
        </w:rPr>
        <w:t>,</w:t>
      </w:r>
      <w:r w:rsidR="00C6680F" w:rsidRPr="005F4FB1">
        <w:rPr>
          <w:rFonts w:ascii="Arial" w:eastAsia="Arial" w:hAnsi="Arial" w:cs="Arial"/>
          <w:color w:val="000000"/>
          <w:sz w:val="22"/>
          <w:szCs w:val="22"/>
        </w:rPr>
        <w:t>a nivel de territorio</w:t>
      </w:r>
      <w:r w:rsidR="005F4FB1" w:rsidRPr="005F4FB1">
        <w:rPr>
          <w:rFonts w:ascii="Arial" w:eastAsia="Arial" w:hAnsi="Arial" w:cs="Arial"/>
          <w:color w:val="000000"/>
          <w:sz w:val="22"/>
          <w:szCs w:val="22"/>
        </w:rPr>
        <w:t>,</w:t>
      </w:r>
      <w:r w:rsidR="00C6680F" w:rsidRPr="005F4FB1">
        <w:rPr>
          <w:rFonts w:ascii="Arial" w:eastAsia="Arial" w:hAnsi="Arial" w:cs="Arial"/>
          <w:color w:val="000000"/>
          <w:sz w:val="22"/>
          <w:szCs w:val="22"/>
        </w:rPr>
        <w:t xml:space="preserve"> </w:t>
      </w:r>
      <w:r w:rsidRPr="005F4FB1">
        <w:rPr>
          <w:rFonts w:ascii="Arial" w:eastAsia="Arial" w:hAnsi="Arial" w:cs="Arial"/>
          <w:color w:val="000000"/>
          <w:sz w:val="22"/>
          <w:szCs w:val="22"/>
        </w:rPr>
        <w:t>que permitan optimizar la toma de decisiones desde las diferentes Secretarías, tales</w:t>
      </w:r>
      <w:r w:rsidRPr="00B307B1">
        <w:rPr>
          <w:rFonts w:ascii="Arial" w:eastAsia="Arial" w:hAnsi="Arial" w:cs="Arial"/>
          <w:color w:val="000000"/>
          <w:sz w:val="22"/>
          <w:szCs w:val="22"/>
        </w:rPr>
        <w:t xml:space="preserve"> como, Secretaría de Economía y Modernización, Secretaría de Salud, Secretaría de Ambientes, Obras y Servicios Públicos, Secretaría de Educación, Cultura y Promoción de la Ciencia, y Secretaría de Inclusión Social y Territorio. A continuación, se esquematiza la información desarrollada anteriormente.</w:t>
      </w:r>
      <w:r w:rsidR="0028288A">
        <w:rPr>
          <w:rFonts w:ascii="Arial" w:eastAsia="Arial" w:hAnsi="Arial" w:cs="Arial"/>
          <w:color w:val="000000"/>
          <w:sz w:val="22"/>
          <w:szCs w:val="22"/>
        </w:rPr>
        <w:t xml:space="preserve"> </w:t>
      </w:r>
    </w:p>
    <w:p w14:paraId="2AA99C22" w14:textId="77777777" w:rsidR="003F0CF8" w:rsidRDefault="003F0CF8">
      <w:pPr>
        <w:pBdr>
          <w:top w:val="nil"/>
          <w:left w:val="nil"/>
          <w:bottom w:val="nil"/>
          <w:right w:val="nil"/>
          <w:between w:val="nil"/>
        </w:pBdr>
        <w:jc w:val="both"/>
        <w:rPr>
          <w:rFonts w:ascii="Arial" w:eastAsia="Arial" w:hAnsi="Arial" w:cs="Arial"/>
          <w:color w:val="000000"/>
          <w:sz w:val="4"/>
          <w:szCs w:val="4"/>
        </w:rPr>
      </w:pPr>
    </w:p>
    <w:p w14:paraId="47D78B89" w14:textId="77777777" w:rsidR="003F0CF8" w:rsidRDefault="003F0CF8">
      <w:pPr>
        <w:pBdr>
          <w:top w:val="nil"/>
          <w:left w:val="nil"/>
          <w:bottom w:val="nil"/>
          <w:right w:val="nil"/>
          <w:between w:val="nil"/>
        </w:pBdr>
        <w:jc w:val="both"/>
        <w:rPr>
          <w:rFonts w:ascii="Arial" w:eastAsia="Arial" w:hAnsi="Arial" w:cs="Arial"/>
          <w:color w:val="000000"/>
          <w:sz w:val="4"/>
          <w:szCs w:val="4"/>
        </w:rPr>
      </w:pPr>
    </w:p>
    <w:p w14:paraId="3310CFAD" w14:textId="77777777" w:rsidR="003F0CF8" w:rsidRDefault="003F0CF8">
      <w:pPr>
        <w:pBdr>
          <w:top w:val="nil"/>
          <w:left w:val="nil"/>
          <w:bottom w:val="nil"/>
          <w:right w:val="nil"/>
          <w:between w:val="nil"/>
        </w:pBdr>
        <w:jc w:val="center"/>
        <w:rPr>
          <w:rFonts w:ascii="Arial" w:eastAsia="Arial" w:hAnsi="Arial" w:cs="Arial"/>
          <w:color w:val="000000"/>
          <w:sz w:val="4"/>
          <w:szCs w:val="4"/>
        </w:rPr>
      </w:pPr>
    </w:p>
    <w:p w14:paraId="2A229812" w14:textId="3A5F829D" w:rsidR="003F0CF8" w:rsidRDefault="003F0CF8">
      <w:pPr>
        <w:pBdr>
          <w:top w:val="nil"/>
          <w:left w:val="nil"/>
          <w:bottom w:val="nil"/>
          <w:right w:val="nil"/>
          <w:between w:val="nil"/>
        </w:pBdr>
        <w:jc w:val="center"/>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DB4321" w14:paraId="15A3D355" w14:textId="77777777" w:rsidTr="00DB4321">
        <w:tc>
          <w:tcPr>
            <w:tcW w:w="7926" w:type="dxa"/>
          </w:tcPr>
          <w:p w14:paraId="0092AA81" w14:textId="7D2296F9" w:rsidR="00DB4321" w:rsidRDefault="00DB4321">
            <w:pPr>
              <w:jc w:val="center"/>
              <w:rPr>
                <w:rFonts w:ascii="Arial" w:eastAsia="Arial" w:hAnsi="Arial" w:cs="Arial"/>
                <w:color w:val="000000"/>
                <w:sz w:val="22"/>
                <w:szCs w:val="22"/>
              </w:rPr>
            </w:pPr>
            <w:r>
              <w:rPr>
                <w:noProof/>
                <w:lang w:val="es-AR"/>
              </w:rPr>
              <w:drawing>
                <wp:inline distT="0" distB="0" distL="0" distR="0" wp14:anchorId="3306DBC6" wp14:editId="292A0496">
                  <wp:extent cx="4908516" cy="22955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86" t="29247" r="11731" b="7553"/>
                          <a:stretch/>
                        </pic:blipFill>
                        <pic:spPr bwMode="auto">
                          <a:xfrm>
                            <a:off x="0" y="0"/>
                            <a:ext cx="4919538" cy="2300680"/>
                          </a:xfrm>
                          <a:prstGeom prst="rect">
                            <a:avLst/>
                          </a:prstGeom>
                          <a:ln>
                            <a:noFill/>
                          </a:ln>
                          <a:extLst>
                            <a:ext uri="{53640926-AAD7-44D8-BBD7-CCE9431645EC}">
                              <a14:shadowObscured xmlns:a14="http://schemas.microsoft.com/office/drawing/2010/main"/>
                            </a:ext>
                          </a:extLst>
                        </pic:spPr>
                      </pic:pic>
                    </a:graphicData>
                  </a:graphic>
                </wp:inline>
              </w:drawing>
            </w:r>
          </w:p>
        </w:tc>
      </w:tr>
      <w:tr w:rsidR="00DB4321" w14:paraId="1ABB5491" w14:textId="77777777" w:rsidTr="00DB4321">
        <w:tc>
          <w:tcPr>
            <w:tcW w:w="7926" w:type="dxa"/>
          </w:tcPr>
          <w:p w14:paraId="48EF2DC2" w14:textId="7673AC57" w:rsidR="00DB4321" w:rsidRDefault="004C0C92">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1E35EB">
              <w:rPr>
                <w:rFonts w:ascii="Arial" w:eastAsia="Arial" w:hAnsi="Arial" w:cs="Arial"/>
                <w:color w:val="000000"/>
                <w:sz w:val="18"/>
                <w:szCs w:val="18"/>
              </w:rPr>
              <w:t>3</w:t>
            </w:r>
            <w:r>
              <w:rPr>
                <w:rFonts w:ascii="Arial" w:eastAsia="Arial" w:hAnsi="Arial" w:cs="Arial"/>
                <w:color w:val="000000"/>
                <w:sz w:val="18"/>
                <w:szCs w:val="18"/>
              </w:rPr>
              <w:t xml:space="preserve">. Esquema </w:t>
            </w:r>
            <w:r w:rsidR="001423C1">
              <w:rPr>
                <w:rFonts w:ascii="Arial" w:eastAsia="Arial" w:hAnsi="Arial" w:cs="Arial"/>
                <w:color w:val="000000"/>
                <w:sz w:val="18"/>
                <w:szCs w:val="18"/>
              </w:rPr>
              <w:t>de</w:t>
            </w:r>
            <w:r w:rsidR="006D21F7">
              <w:rPr>
                <w:rFonts w:ascii="Arial" w:eastAsia="Arial" w:hAnsi="Arial" w:cs="Arial"/>
                <w:color w:val="000000"/>
                <w:sz w:val="18"/>
                <w:szCs w:val="18"/>
              </w:rPr>
              <w:t>l flujo de</w:t>
            </w:r>
            <w:r w:rsidR="001423C1">
              <w:rPr>
                <w:rFonts w:ascii="Arial" w:eastAsia="Arial" w:hAnsi="Arial" w:cs="Arial"/>
                <w:color w:val="000000"/>
                <w:sz w:val="18"/>
                <w:szCs w:val="18"/>
              </w:rPr>
              <w:t xml:space="preserve"> </w:t>
            </w:r>
            <w:r w:rsidR="00DE7383">
              <w:rPr>
                <w:rFonts w:ascii="Arial" w:eastAsia="Arial" w:hAnsi="Arial" w:cs="Arial"/>
                <w:color w:val="000000"/>
                <w:sz w:val="18"/>
                <w:szCs w:val="18"/>
              </w:rPr>
              <w:t xml:space="preserve">trabajo </w:t>
            </w:r>
            <w:r w:rsidR="001423C1">
              <w:rPr>
                <w:rFonts w:ascii="Arial" w:eastAsia="Arial" w:hAnsi="Arial" w:cs="Arial"/>
                <w:color w:val="000000"/>
                <w:sz w:val="18"/>
                <w:szCs w:val="18"/>
              </w:rPr>
              <w:t>del Centro Estadístico.</w:t>
            </w:r>
          </w:p>
        </w:tc>
      </w:tr>
    </w:tbl>
    <w:p w14:paraId="02BCC832" w14:textId="4BFEB72C" w:rsidR="00DB4321" w:rsidRDefault="00DB4321">
      <w:pPr>
        <w:pBdr>
          <w:top w:val="nil"/>
          <w:left w:val="nil"/>
          <w:bottom w:val="nil"/>
          <w:right w:val="nil"/>
          <w:between w:val="nil"/>
        </w:pBdr>
        <w:jc w:val="center"/>
        <w:rPr>
          <w:rFonts w:ascii="Arial" w:eastAsia="Arial" w:hAnsi="Arial" w:cs="Arial"/>
          <w:color w:val="000000"/>
          <w:sz w:val="22"/>
          <w:szCs w:val="22"/>
        </w:rPr>
      </w:pPr>
    </w:p>
    <w:p w14:paraId="05C5F42C" w14:textId="77777777" w:rsidR="00DB4321" w:rsidRDefault="00DB4321" w:rsidP="00B925B4">
      <w:pPr>
        <w:pBdr>
          <w:top w:val="nil"/>
          <w:left w:val="nil"/>
          <w:bottom w:val="nil"/>
          <w:right w:val="nil"/>
          <w:between w:val="nil"/>
        </w:pBdr>
        <w:rPr>
          <w:rFonts w:ascii="Arial" w:eastAsia="Arial" w:hAnsi="Arial" w:cs="Arial"/>
          <w:color w:val="000000"/>
          <w:sz w:val="22"/>
          <w:szCs w:val="22"/>
        </w:rPr>
      </w:pPr>
    </w:p>
    <w:p w14:paraId="0C30B0D3" w14:textId="76B6D45B"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MERCADO LABORAL Y SOCIODEMOGRÁFICO</w:t>
      </w:r>
    </w:p>
    <w:p w14:paraId="42FC50AA"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691A7C1A" w14:textId="089E6A7E"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w:t>
      </w:r>
      <w:r w:rsidRPr="009F0E74">
        <w:rPr>
          <w:rFonts w:ascii="Arial" w:eastAsia="Arial" w:hAnsi="Arial" w:cs="Arial"/>
          <w:color w:val="000000"/>
          <w:sz w:val="22"/>
          <w:szCs w:val="22"/>
        </w:rPr>
        <w:t>l Mercado Laboral es aquel donde confluyen la oferta y la demanda de trabajo. Su buen funcionamiento puede estar influenciado, entre otras variables, por el nivel educativo de la fuerza laboral, ya que se sabe que el aumento del porcentaje de la fuerza de trabajo con estudios completos de nivel superior está asociado con un mayor nivel de productividad. Por otro lado, un mal funcionamiento puede afectar negativamente al crecimiento económico y al empleo de una ciudad, una provincia o un país. Por ejemplo, una tasa de desocupación alta provoca costos económicos y sociales. En síntesis, conocer los principales indicadores del Mercado Laboral de Villa María es de suma importancia.</w:t>
      </w:r>
    </w:p>
    <w:p w14:paraId="2F6B280E" w14:textId="3C9BF8EB" w:rsid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Desde 2018, se realizan estimaciones de los principales indicadores para nuestra ciudad en general y dentro de nuestra ciudad, para nuestros Municercas.</w:t>
      </w:r>
    </w:p>
    <w:p w14:paraId="70C69A65" w14:textId="4D48736E"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 xml:space="preserve">En </w:t>
      </w:r>
      <w:r>
        <w:rPr>
          <w:rFonts w:ascii="Arial" w:eastAsia="Arial" w:hAnsi="Arial" w:cs="Arial"/>
          <w:color w:val="000000"/>
          <w:sz w:val="22"/>
          <w:szCs w:val="22"/>
        </w:rPr>
        <w:t xml:space="preserve">esta </w:t>
      </w:r>
      <w:r w:rsidR="00E96173">
        <w:rPr>
          <w:rFonts w:ascii="Arial" w:eastAsia="Arial" w:hAnsi="Arial" w:cs="Arial"/>
          <w:color w:val="000000"/>
          <w:sz w:val="22"/>
          <w:szCs w:val="22"/>
        </w:rPr>
        <w:t>dimensión de producción</w:t>
      </w:r>
      <w:r w:rsidRPr="009F0E74">
        <w:rPr>
          <w:rFonts w:ascii="Arial" w:eastAsia="Arial" w:hAnsi="Arial" w:cs="Arial"/>
          <w:color w:val="000000"/>
          <w:sz w:val="22"/>
          <w:szCs w:val="22"/>
        </w:rPr>
        <w:t>, se presenta información perteneciente a dos grupos de indicadores:</w:t>
      </w:r>
    </w:p>
    <w:p w14:paraId="0E1E052A" w14:textId="7CE98F37"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lastRenderedPageBreak/>
        <w:t xml:space="preserve">● </w:t>
      </w:r>
      <w:r w:rsidR="00164908">
        <w:rPr>
          <w:rFonts w:ascii="Arial" w:eastAsia="Arial" w:hAnsi="Arial" w:cs="Arial"/>
          <w:color w:val="000000"/>
          <w:sz w:val="22"/>
          <w:szCs w:val="22"/>
        </w:rPr>
        <w:t>Socio</w:t>
      </w:r>
      <w:r w:rsidR="00164908" w:rsidRPr="009F0E74">
        <w:rPr>
          <w:rFonts w:ascii="Arial" w:eastAsia="Arial" w:hAnsi="Arial" w:cs="Arial"/>
          <w:color w:val="000000"/>
          <w:sz w:val="22"/>
          <w:szCs w:val="22"/>
        </w:rPr>
        <w:t>demográficos</w:t>
      </w:r>
      <w:r w:rsidRPr="009F0E74">
        <w:rPr>
          <w:rFonts w:ascii="Arial" w:eastAsia="Arial" w:hAnsi="Arial" w:cs="Arial"/>
          <w:color w:val="000000"/>
          <w:sz w:val="22"/>
          <w:szCs w:val="22"/>
        </w:rPr>
        <w:t xml:space="preserve"> básicos de la población total de referencia: permiten la caracterización sociodemográfica de los hogares y las personas, tales como sexo, grupos de edad, jefatura, tamaño del hogar, índice de masculinidad, índice de dependencia potencial y coeficiente de vejez.</w:t>
      </w:r>
    </w:p>
    <w:p w14:paraId="021733A4" w14:textId="244DFCB5" w:rsid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 Socioeconómicos: caracterizan la situación laboral de la población a través de indicadores básicos del mercado de trabajo, tales como tasas generales y específicas de actividad, empleo y desocupación.</w:t>
      </w:r>
    </w:p>
    <w:p w14:paraId="71750F74" w14:textId="77777777" w:rsidR="00C47020" w:rsidRDefault="00C47020" w:rsidP="009F0E74">
      <w:pPr>
        <w:pBdr>
          <w:top w:val="nil"/>
          <w:left w:val="nil"/>
          <w:bottom w:val="nil"/>
          <w:right w:val="nil"/>
          <w:between w:val="nil"/>
        </w:pBdr>
        <w:jc w:val="both"/>
        <w:rPr>
          <w:rFonts w:ascii="Arial" w:eastAsia="Arial" w:hAnsi="Arial" w:cs="Arial"/>
          <w:color w:val="000000"/>
          <w:sz w:val="22"/>
          <w:szCs w:val="22"/>
        </w:rPr>
      </w:pPr>
    </w:p>
    <w:p w14:paraId="4FD9D997" w14:textId="78D7595A" w:rsidR="009F0E74" w:rsidRPr="00C47020" w:rsidRDefault="000770FF" w:rsidP="009F0E74">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Indicadores </w:t>
      </w:r>
      <w:r w:rsidR="00C47020" w:rsidRPr="00C47020">
        <w:rPr>
          <w:rFonts w:ascii="Arial" w:eastAsia="Arial" w:hAnsi="Arial" w:cs="Arial"/>
          <w:b/>
          <w:bCs/>
          <w:color w:val="000000"/>
          <w:sz w:val="22"/>
          <w:szCs w:val="22"/>
        </w:rPr>
        <w:t>Sociodemográfico</w:t>
      </w:r>
      <w:r>
        <w:rPr>
          <w:rFonts w:ascii="Arial" w:eastAsia="Arial" w:hAnsi="Arial" w:cs="Arial"/>
          <w:b/>
          <w:bCs/>
          <w:color w:val="000000"/>
          <w:sz w:val="22"/>
          <w:szCs w:val="22"/>
        </w:rPr>
        <w:t>s</w:t>
      </w:r>
    </w:p>
    <w:p w14:paraId="4D24B6BE" w14:textId="77777777" w:rsidR="004D7243" w:rsidRPr="004D7243" w:rsidRDefault="004D7243" w:rsidP="004D7243">
      <w:pPr>
        <w:pBdr>
          <w:top w:val="nil"/>
          <w:left w:val="nil"/>
          <w:bottom w:val="nil"/>
          <w:right w:val="nil"/>
          <w:between w:val="nil"/>
        </w:pBdr>
        <w:jc w:val="both"/>
        <w:rPr>
          <w:rFonts w:ascii="Arial" w:eastAsia="Arial" w:hAnsi="Arial" w:cs="Arial"/>
          <w:color w:val="000000"/>
          <w:sz w:val="22"/>
          <w:szCs w:val="22"/>
        </w:rPr>
      </w:pPr>
      <w:r w:rsidRPr="004D7243">
        <w:rPr>
          <w:rFonts w:ascii="Arial" w:eastAsia="Arial" w:hAnsi="Arial" w:cs="Arial"/>
          <w:color w:val="000000"/>
          <w:sz w:val="22"/>
          <w:szCs w:val="22"/>
        </w:rPr>
        <w:t xml:space="preserve">El Sistema de Estadísticas Sociodemográficas (SESD) muestra la situación y evolución social del país y de sus jurisdicciones por medio de un conjunto de indicadores. Incorpora distintos niveles de análisis, alcanzando los mismos a individuos, hogares y familias. Su principal fuente de </w:t>
      </w:r>
      <w:r w:rsidRPr="00D11779">
        <w:rPr>
          <w:rFonts w:ascii="Arial" w:eastAsia="Arial" w:hAnsi="Arial" w:cs="Arial"/>
          <w:color w:val="000000"/>
          <w:sz w:val="22"/>
          <w:szCs w:val="22"/>
        </w:rPr>
        <w:t>datos es INDEC, a trav</w:t>
      </w:r>
      <w:r w:rsidRPr="004D7243">
        <w:rPr>
          <w:rFonts w:ascii="Arial" w:eastAsia="Arial" w:hAnsi="Arial" w:cs="Arial"/>
          <w:color w:val="000000"/>
          <w:sz w:val="22"/>
          <w:szCs w:val="22"/>
        </w:rPr>
        <w:t>és de sus diferentes programas de recolección de información.</w:t>
      </w:r>
    </w:p>
    <w:p w14:paraId="1DE0E486" w14:textId="14837908" w:rsidR="00C47020" w:rsidRDefault="004D7243" w:rsidP="004D7243">
      <w:pPr>
        <w:pBdr>
          <w:top w:val="nil"/>
          <w:left w:val="nil"/>
          <w:bottom w:val="nil"/>
          <w:right w:val="nil"/>
          <w:between w:val="nil"/>
        </w:pBdr>
        <w:jc w:val="both"/>
        <w:rPr>
          <w:rFonts w:ascii="Arial" w:eastAsia="Arial" w:hAnsi="Arial" w:cs="Arial"/>
          <w:color w:val="000000"/>
          <w:sz w:val="22"/>
          <w:szCs w:val="22"/>
        </w:rPr>
      </w:pPr>
      <w:r w:rsidRPr="004D7243">
        <w:rPr>
          <w:rFonts w:ascii="Arial" w:eastAsia="Arial" w:hAnsi="Arial" w:cs="Arial"/>
          <w:color w:val="000000"/>
          <w:sz w:val="22"/>
          <w:szCs w:val="22"/>
        </w:rPr>
        <w:t>Siguiendo estos lineamientos, presentamos los principales Indicadores Sociodemográficos de Villa María y de sus Municercas, que se calculan desde marzo de 2018 y se visualizan a través de nuestro Sistema de Información Geográfica.</w:t>
      </w:r>
    </w:p>
    <w:p w14:paraId="3C3C2BF8" w14:textId="77777777" w:rsidR="004D7243" w:rsidRDefault="004D7243"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4D7243" w14:paraId="0E4AD636" w14:textId="77777777" w:rsidTr="004D7243">
        <w:tc>
          <w:tcPr>
            <w:tcW w:w="7926" w:type="dxa"/>
          </w:tcPr>
          <w:p w14:paraId="483E04CC" w14:textId="08A91DDD" w:rsidR="004D7243" w:rsidRDefault="004D7243" w:rsidP="004D7243">
            <w:pPr>
              <w:jc w:val="center"/>
              <w:rPr>
                <w:rFonts w:ascii="Arial" w:eastAsia="Arial" w:hAnsi="Arial" w:cs="Arial"/>
                <w:color w:val="000000"/>
                <w:sz w:val="22"/>
                <w:szCs w:val="22"/>
              </w:rPr>
            </w:pPr>
            <w:r>
              <w:rPr>
                <w:noProof/>
                <w:lang w:val="es-AR"/>
              </w:rPr>
              <w:drawing>
                <wp:inline distT="0" distB="0" distL="0" distR="0" wp14:anchorId="5AEB5CEF" wp14:editId="07A2A593">
                  <wp:extent cx="4591050" cy="20468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792" r="-50" b="5871"/>
                          <a:stretch/>
                        </pic:blipFill>
                        <pic:spPr bwMode="auto">
                          <a:xfrm>
                            <a:off x="0" y="0"/>
                            <a:ext cx="4600252" cy="2050994"/>
                          </a:xfrm>
                          <a:prstGeom prst="rect">
                            <a:avLst/>
                          </a:prstGeom>
                          <a:ln>
                            <a:noFill/>
                          </a:ln>
                          <a:extLst>
                            <a:ext uri="{53640926-AAD7-44D8-BBD7-CCE9431645EC}">
                              <a14:shadowObscured xmlns:a14="http://schemas.microsoft.com/office/drawing/2010/main"/>
                            </a:ext>
                          </a:extLst>
                        </pic:spPr>
                      </pic:pic>
                    </a:graphicData>
                  </a:graphic>
                </wp:inline>
              </w:drawing>
            </w:r>
          </w:p>
        </w:tc>
      </w:tr>
      <w:tr w:rsidR="004D7243" w14:paraId="2D8B2C58" w14:textId="77777777" w:rsidTr="004D7243">
        <w:tc>
          <w:tcPr>
            <w:tcW w:w="7926" w:type="dxa"/>
          </w:tcPr>
          <w:p w14:paraId="68089D65" w14:textId="465A9525" w:rsidR="00B23676" w:rsidRPr="006D21F7" w:rsidRDefault="00134057" w:rsidP="006D21F7">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1E35EB">
              <w:rPr>
                <w:rFonts w:ascii="Arial" w:eastAsia="Arial" w:hAnsi="Arial" w:cs="Arial"/>
                <w:color w:val="000000"/>
                <w:sz w:val="18"/>
                <w:szCs w:val="18"/>
              </w:rPr>
              <w:t>4</w:t>
            </w:r>
            <w:r>
              <w:rPr>
                <w:rFonts w:ascii="Arial" w:eastAsia="Arial" w:hAnsi="Arial" w:cs="Arial"/>
                <w:color w:val="000000"/>
                <w:sz w:val="18"/>
                <w:szCs w:val="18"/>
              </w:rPr>
              <w:t xml:space="preserve">. Panel interactivo de indicadores </w:t>
            </w:r>
            <w:r w:rsidR="00B55AE9">
              <w:rPr>
                <w:rFonts w:ascii="Arial" w:eastAsia="Arial" w:hAnsi="Arial" w:cs="Arial"/>
                <w:color w:val="000000"/>
                <w:sz w:val="18"/>
                <w:szCs w:val="18"/>
              </w:rPr>
              <w:t>sociodemográficos. En esta figura se muestra información respecto de la Población Económicamente Activa (PEA).</w:t>
            </w:r>
            <w:r w:rsidR="006D21F7">
              <w:rPr>
                <w:rFonts w:ascii="Arial" w:eastAsia="Arial" w:hAnsi="Arial" w:cs="Arial"/>
                <w:color w:val="000000"/>
                <w:sz w:val="18"/>
                <w:szCs w:val="18"/>
              </w:rPr>
              <w:t xml:space="preserve"> </w:t>
            </w:r>
            <w:r w:rsidR="00B55AE9">
              <w:rPr>
                <w:rFonts w:ascii="Arial" w:eastAsia="Arial" w:hAnsi="Arial" w:cs="Arial"/>
                <w:color w:val="000000"/>
                <w:sz w:val="18"/>
                <w:szCs w:val="18"/>
              </w:rPr>
              <w:t>El usuario puede seleccionar otros aspectos de información y obtener mas información de cada municerca utilizando el mapa interactivo de la izquierda.</w:t>
            </w:r>
            <w:r w:rsidR="00B23676">
              <w:rPr>
                <w:rFonts w:ascii="Arial" w:eastAsia="Arial" w:hAnsi="Arial" w:cs="Arial"/>
                <w:color w:val="000000"/>
                <w:sz w:val="18"/>
                <w:szCs w:val="18"/>
              </w:rPr>
              <w:t xml:space="preserve"> Disponible </w:t>
            </w:r>
            <w:hyperlink r:id="rId13" w:history="1">
              <w:r w:rsidR="006D21F7" w:rsidRPr="006D21F7">
                <w:rPr>
                  <w:rStyle w:val="Hipervnculo"/>
                  <w:rFonts w:ascii="Arial" w:eastAsia="Arial" w:hAnsi="Arial" w:cs="Arial"/>
                  <w:position w:val="0"/>
                  <w:sz w:val="18"/>
                  <w:szCs w:val="18"/>
                </w:rPr>
                <w:t>aquí</w:t>
              </w:r>
            </w:hyperlink>
            <w:r w:rsidR="006D21F7">
              <w:rPr>
                <w:rFonts w:ascii="Arial" w:eastAsia="Arial" w:hAnsi="Arial" w:cs="Arial"/>
                <w:color w:val="000000"/>
                <w:sz w:val="18"/>
                <w:szCs w:val="18"/>
              </w:rPr>
              <w:t xml:space="preserve">. </w:t>
            </w:r>
          </w:p>
        </w:tc>
      </w:tr>
    </w:tbl>
    <w:p w14:paraId="28A2EE9E" w14:textId="77777777" w:rsidR="00C47020" w:rsidRDefault="00C47020" w:rsidP="009F0E74">
      <w:pPr>
        <w:pBdr>
          <w:top w:val="nil"/>
          <w:left w:val="nil"/>
          <w:bottom w:val="nil"/>
          <w:right w:val="nil"/>
          <w:between w:val="nil"/>
        </w:pBdr>
        <w:jc w:val="both"/>
        <w:rPr>
          <w:rFonts w:ascii="Arial" w:eastAsia="Arial" w:hAnsi="Arial" w:cs="Arial"/>
          <w:color w:val="000000"/>
          <w:sz w:val="22"/>
          <w:szCs w:val="22"/>
        </w:rPr>
      </w:pPr>
    </w:p>
    <w:p w14:paraId="586E8226" w14:textId="77777777" w:rsidR="004F1A94" w:rsidRDefault="004F1A94" w:rsidP="009F0E74">
      <w:pPr>
        <w:pBdr>
          <w:top w:val="nil"/>
          <w:left w:val="nil"/>
          <w:bottom w:val="nil"/>
          <w:right w:val="nil"/>
          <w:between w:val="nil"/>
        </w:pBdr>
        <w:jc w:val="both"/>
        <w:rPr>
          <w:rFonts w:ascii="Arial" w:eastAsia="Arial" w:hAnsi="Arial" w:cs="Arial"/>
          <w:b/>
          <w:bCs/>
          <w:color w:val="000000"/>
          <w:sz w:val="22"/>
          <w:szCs w:val="22"/>
        </w:rPr>
      </w:pPr>
    </w:p>
    <w:p w14:paraId="1F9A724F" w14:textId="6C6265B9" w:rsidR="0005627C" w:rsidRPr="00C47020" w:rsidRDefault="000770FF" w:rsidP="009F0E74">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Indicadores</w:t>
      </w:r>
      <w:r w:rsidR="00C47020" w:rsidRPr="00C47020">
        <w:rPr>
          <w:rFonts w:ascii="Arial" w:eastAsia="Arial" w:hAnsi="Arial" w:cs="Arial"/>
          <w:b/>
          <w:bCs/>
          <w:color w:val="000000"/>
          <w:sz w:val="22"/>
          <w:szCs w:val="22"/>
        </w:rPr>
        <w:t>Socioeconómicos</w:t>
      </w:r>
    </w:p>
    <w:p w14:paraId="6216BAD5" w14:textId="520D090B" w:rsidR="009F0E74" w:rsidRPr="009F0E74" w:rsidRDefault="001E4182"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esta sección </w:t>
      </w:r>
      <w:r w:rsidRPr="001B15EF">
        <w:rPr>
          <w:rFonts w:ascii="Arial" w:eastAsia="Arial" w:hAnsi="Arial" w:cs="Arial"/>
          <w:color w:val="000000"/>
          <w:sz w:val="22"/>
          <w:szCs w:val="22"/>
        </w:rPr>
        <w:t>del portal</w:t>
      </w:r>
      <w:r>
        <w:rPr>
          <w:rFonts w:ascii="Arial" w:eastAsia="Arial" w:hAnsi="Arial" w:cs="Arial"/>
          <w:color w:val="000000"/>
          <w:sz w:val="22"/>
          <w:szCs w:val="22"/>
        </w:rPr>
        <w:t xml:space="preserve"> se hace un análisis comparativo de las principales tasas específicas. </w:t>
      </w:r>
      <w:r w:rsidR="009F0E74" w:rsidRPr="009F0E74">
        <w:rPr>
          <w:rFonts w:ascii="Arial" w:eastAsia="Arial" w:hAnsi="Arial" w:cs="Arial"/>
          <w:color w:val="000000"/>
          <w:sz w:val="22"/>
          <w:szCs w:val="22"/>
        </w:rPr>
        <w:t>Las tasas específicas hacen referencia a la población de 14 años y más. En este espacio se muestra de forma interactiva los valores estimados de dichas tasas en cada Municerca de la ciudad para períodos distintos de tiempo. Esta visualización permite hacer comparativas y observar la heterogeneidad en nuestro territorio.</w:t>
      </w:r>
    </w:p>
    <w:p w14:paraId="0D49D88F" w14:textId="074A69F1" w:rsidR="008F56A7" w:rsidRDefault="008F56A7"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Las tasas específicas que evaluamos son:</w:t>
      </w:r>
    </w:p>
    <w:p w14:paraId="35EB1587" w14:textId="43FAEF17" w:rsidR="009F0E74" w:rsidRDefault="009F0E74" w:rsidP="009F0E74">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ACTIVIDAD</w:t>
      </w:r>
      <w:r w:rsidR="008F56A7">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fuerza laboral de una ciudad, ya que considera la relación entre la suma de los ocupados y desocupados, que buscan una ocupación activamente y la población de 14 años y más.</w:t>
      </w:r>
    </w:p>
    <w:p w14:paraId="190211A1" w14:textId="51DC597E" w:rsidR="008F56A7" w:rsidRDefault="008F56A7" w:rsidP="008F56A7">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EMPLEO</w:t>
      </w:r>
      <w:r>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proporción de personas con empleo en la ciudad, ya que considera la relación entre los ocupados y la población de 14 años y más.</w:t>
      </w:r>
    </w:p>
    <w:p w14:paraId="4E0A5B79" w14:textId="687D6D6F" w:rsidR="008F56A7" w:rsidRDefault="008F56A7" w:rsidP="008F56A7">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DESOCUPACIÓN</w:t>
      </w:r>
      <w:r>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fuerza laboral de una ciudad, ya que considera la relación entre los desocupados y la Población Económicamente Activa (PEA). La PEA está conformada por la suma entre los ocupados y desocupados, que buscan una ocupación activamente.</w:t>
      </w:r>
    </w:p>
    <w:p w14:paraId="1A43512A" w14:textId="20A0627F" w:rsidR="009F0E74" w:rsidRPr="008144E2" w:rsidRDefault="008F56A7" w:rsidP="009F0E74">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SOBREOCUPACIÓN</w:t>
      </w:r>
      <w:r w:rsidR="001E4182">
        <w:rPr>
          <w:rFonts w:ascii="Arial" w:eastAsia="Arial" w:hAnsi="Arial" w:cs="Arial"/>
          <w:color w:val="000000"/>
          <w:sz w:val="22"/>
          <w:szCs w:val="22"/>
        </w:rPr>
        <w:t xml:space="preserve">: </w:t>
      </w:r>
      <w:r w:rsidRPr="001E4182">
        <w:rPr>
          <w:rFonts w:ascii="Arial" w:eastAsia="Arial" w:hAnsi="Arial" w:cs="Arial"/>
          <w:color w:val="000000"/>
          <w:sz w:val="22"/>
          <w:szCs w:val="22"/>
        </w:rPr>
        <w:t>La población sobreocupada es la población que trabaja más de 45 horas semanales. La Tasa de Sobreocupación Horaria se calcula como el porcentaje entre la población sobreocupada y la Población Económicamente Activa (PEA).</w:t>
      </w:r>
    </w:p>
    <w:p w14:paraId="07C2C4FD" w14:textId="560BC8FE" w:rsidR="008144E2" w:rsidRDefault="008144E2" w:rsidP="009F0E74">
      <w:pPr>
        <w:pBdr>
          <w:top w:val="nil"/>
          <w:left w:val="nil"/>
          <w:bottom w:val="nil"/>
          <w:right w:val="nil"/>
          <w:between w:val="nil"/>
        </w:pBdr>
        <w:jc w:val="both"/>
        <w:rPr>
          <w:rFonts w:ascii="Arial" w:eastAsia="Arial" w:hAnsi="Arial" w:cs="Arial"/>
          <w:color w:val="000000"/>
          <w:sz w:val="22"/>
          <w:szCs w:val="22"/>
        </w:rPr>
      </w:pPr>
    </w:p>
    <w:p w14:paraId="1D2AA320" w14:textId="07C0B6DB" w:rsidR="008144E2" w:rsidRDefault="008144E2"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8144E2" w14:paraId="507CCE71" w14:textId="77777777" w:rsidTr="008144E2">
        <w:tc>
          <w:tcPr>
            <w:tcW w:w="7926" w:type="dxa"/>
          </w:tcPr>
          <w:p w14:paraId="53ED44FF" w14:textId="0A6CECB2" w:rsidR="008144E2" w:rsidRDefault="008144E2" w:rsidP="008144E2">
            <w:pPr>
              <w:jc w:val="center"/>
              <w:rPr>
                <w:rFonts w:ascii="Arial" w:eastAsia="Arial" w:hAnsi="Arial" w:cs="Arial"/>
                <w:color w:val="000000"/>
                <w:sz w:val="22"/>
                <w:szCs w:val="22"/>
              </w:rPr>
            </w:pPr>
            <w:r>
              <w:rPr>
                <w:noProof/>
                <w:lang w:val="es-AR"/>
              </w:rPr>
              <w:drawing>
                <wp:inline distT="0" distB="0" distL="0" distR="0" wp14:anchorId="0FC1262F" wp14:editId="54C513B8">
                  <wp:extent cx="4183812" cy="257241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74" t="19702" r="16108" b="5697"/>
                          <a:stretch/>
                        </pic:blipFill>
                        <pic:spPr bwMode="auto">
                          <a:xfrm>
                            <a:off x="0" y="0"/>
                            <a:ext cx="4207031" cy="2586689"/>
                          </a:xfrm>
                          <a:prstGeom prst="rect">
                            <a:avLst/>
                          </a:prstGeom>
                          <a:ln>
                            <a:noFill/>
                          </a:ln>
                          <a:extLst>
                            <a:ext uri="{53640926-AAD7-44D8-BBD7-CCE9431645EC}">
                              <a14:shadowObscured xmlns:a14="http://schemas.microsoft.com/office/drawing/2010/main"/>
                            </a:ext>
                          </a:extLst>
                        </pic:spPr>
                      </pic:pic>
                    </a:graphicData>
                  </a:graphic>
                </wp:inline>
              </w:drawing>
            </w:r>
          </w:p>
        </w:tc>
      </w:tr>
      <w:tr w:rsidR="008144E2" w14:paraId="6873E61E" w14:textId="77777777" w:rsidTr="008144E2">
        <w:tc>
          <w:tcPr>
            <w:tcW w:w="7926" w:type="dxa"/>
          </w:tcPr>
          <w:p w14:paraId="5F089CCA" w14:textId="188C3ED0" w:rsidR="008144E2" w:rsidRPr="00F76DEE" w:rsidRDefault="00F76DEE" w:rsidP="00F76DEE">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487A20">
              <w:rPr>
                <w:rFonts w:ascii="Arial" w:eastAsia="Arial" w:hAnsi="Arial" w:cs="Arial"/>
                <w:color w:val="000000"/>
                <w:sz w:val="18"/>
                <w:szCs w:val="18"/>
              </w:rPr>
              <w:t>5</w:t>
            </w:r>
            <w:r>
              <w:rPr>
                <w:rFonts w:ascii="Arial" w:eastAsia="Arial" w:hAnsi="Arial" w:cs="Arial"/>
                <w:color w:val="000000"/>
                <w:sz w:val="18"/>
                <w:szCs w:val="18"/>
              </w:rPr>
              <w:t xml:space="preserve">. Panel interactivo de tasa de empleo. </w:t>
            </w:r>
            <w:r w:rsidR="008144E2" w:rsidRPr="00F76DEE">
              <w:rPr>
                <w:rFonts w:ascii="Arial" w:eastAsia="Arial" w:hAnsi="Arial" w:cs="Arial"/>
                <w:color w:val="000000"/>
                <w:sz w:val="18"/>
                <w:szCs w:val="18"/>
              </w:rPr>
              <w:t>Deslizando la barra hacia la derecha, se observa la distribución de la Tasa de Empleo desde el segundo trimestre de 2021 hasta el tercer trimestre del 2021, deslizando hacia la izquierda.</w:t>
            </w:r>
            <w:r w:rsidR="004F1A94">
              <w:rPr>
                <w:rFonts w:ascii="Arial" w:eastAsia="Arial" w:hAnsi="Arial" w:cs="Arial"/>
                <w:color w:val="000000"/>
                <w:sz w:val="18"/>
                <w:szCs w:val="18"/>
              </w:rPr>
              <w:t xml:space="preserve"> </w:t>
            </w:r>
            <w:r w:rsidR="00C8273F">
              <w:rPr>
                <w:rFonts w:ascii="Arial" w:eastAsia="Arial" w:hAnsi="Arial" w:cs="Arial"/>
                <w:color w:val="000000"/>
                <w:sz w:val="18"/>
                <w:szCs w:val="18"/>
              </w:rPr>
              <w:t xml:space="preserve">Disponible </w:t>
            </w:r>
            <w:hyperlink r:id="rId15" w:history="1">
              <w:r w:rsidR="00C8273F" w:rsidRPr="00C8273F">
                <w:rPr>
                  <w:rStyle w:val="Hipervnculo"/>
                  <w:rFonts w:ascii="Arial" w:eastAsia="Arial" w:hAnsi="Arial" w:cs="Arial"/>
                  <w:position w:val="0"/>
                  <w:sz w:val="18"/>
                  <w:szCs w:val="18"/>
                </w:rPr>
                <w:t>aquí</w:t>
              </w:r>
            </w:hyperlink>
            <w:r w:rsidR="00C8273F">
              <w:rPr>
                <w:rFonts w:ascii="Arial" w:eastAsia="Arial" w:hAnsi="Arial" w:cs="Arial"/>
                <w:color w:val="000000"/>
                <w:sz w:val="18"/>
                <w:szCs w:val="18"/>
              </w:rPr>
              <w:t>.</w:t>
            </w:r>
          </w:p>
        </w:tc>
      </w:tr>
    </w:tbl>
    <w:p w14:paraId="364CF995" w14:textId="77777777" w:rsidR="00487A20" w:rsidRDefault="00487A20" w:rsidP="009F0E74">
      <w:pPr>
        <w:pBdr>
          <w:top w:val="nil"/>
          <w:left w:val="nil"/>
          <w:bottom w:val="nil"/>
          <w:right w:val="nil"/>
          <w:between w:val="nil"/>
        </w:pBdr>
        <w:jc w:val="both"/>
        <w:rPr>
          <w:rFonts w:ascii="Arial" w:eastAsia="Arial" w:hAnsi="Arial" w:cs="Arial"/>
          <w:b/>
          <w:color w:val="000000"/>
          <w:sz w:val="22"/>
          <w:szCs w:val="22"/>
        </w:rPr>
      </w:pPr>
    </w:p>
    <w:p w14:paraId="3F2B79C3" w14:textId="72A81C27" w:rsidR="00AE2D11" w:rsidRPr="005C1E65" w:rsidRDefault="005C1E65" w:rsidP="009F0E74">
      <w:pPr>
        <w:pBdr>
          <w:top w:val="nil"/>
          <w:left w:val="nil"/>
          <w:bottom w:val="nil"/>
          <w:right w:val="nil"/>
          <w:between w:val="nil"/>
        </w:pBdr>
        <w:jc w:val="both"/>
        <w:rPr>
          <w:rFonts w:ascii="Arial" w:eastAsia="Arial" w:hAnsi="Arial" w:cs="Arial"/>
          <w:b/>
          <w:color w:val="000000"/>
          <w:sz w:val="22"/>
          <w:szCs w:val="22"/>
        </w:rPr>
      </w:pPr>
      <w:r w:rsidRPr="005C1E65">
        <w:rPr>
          <w:rFonts w:ascii="Arial" w:eastAsia="Arial" w:hAnsi="Arial" w:cs="Arial"/>
          <w:b/>
          <w:color w:val="000000"/>
          <w:sz w:val="22"/>
          <w:szCs w:val="22"/>
        </w:rPr>
        <w:t>Indicadores Socioeconómicos de Argentina y Villa María</w:t>
      </w:r>
    </w:p>
    <w:p w14:paraId="0083986C" w14:textId="772CF929" w:rsidR="00AE2D11" w:rsidRDefault="00AE2D11" w:rsidP="009F0E74">
      <w:pPr>
        <w:pBdr>
          <w:top w:val="nil"/>
          <w:left w:val="nil"/>
          <w:bottom w:val="nil"/>
          <w:right w:val="nil"/>
          <w:between w:val="nil"/>
        </w:pBdr>
        <w:jc w:val="both"/>
        <w:rPr>
          <w:rFonts w:ascii="Arial" w:eastAsia="Arial" w:hAnsi="Arial" w:cs="Arial"/>
          <w:color w:val="000000"/>
          <w:sz w:val="22"/>
          <w:szCs w:val="22"/>
        </w:rPr>
      </w:pPr>
      <w:r w:rsidRPr="00487A20">
        <w:rPr>
          <w:rFonts w:ascii="Arial" w:eastAsia="Arial" w:hAnsi="Arial" w:cs="Arial"/>
          <w:color w:val="000000"/>
          <w:sz w:val="22"/>
          <w:szCs w:val="22"/>
        </w:rPr>
        <w:t>Las tasas</w:t>
      </w:r>
      <w:r w:rsidR="001B15EF" w:rsidRPr="00487A20">
        <w:rPr>
          <w:rFonts w:ascii="Arial" w:eastAsia="Arial" w:hAnsi="Arial" w:cs="Arial"/>
          <w:color w:val="000000"/>
          <w:sz w:val="22"/>
          <w:szCs w:val="22"/>
        </w:rPr>
        <w:t xml:space="preserve"> generales</w:t>
      </w:r>
      <w:r w:rsidRPr="00487A20">
        <w:rPr>
          <w:rFonts w:ascii="Arial" w:eastAsia="Arial" w:hAnsi="Arial" w:cs="Arial"/>
          <w:color w:val="000000"/>
          <w:sz w:val="22"/>
          <w:szCs w:val="22"/>
        </w:rPr>
        <w:t xml:space="preserve"> obtenidas de la ETH se comparan, además, con las tasas </w:t>
      </w:r>
      <w:r w:rsidR="00B800A6" w:rsidRPr="00487A20">
        <w:rPr>
          <w:rFonts w:ascii="Arial" w:eastAsia="Arial" w:hAnsi="Arial" w:cs="Arial"/>
          <w:color w:val="000000"/>
          <w:sz w:val="22"/>
          <w:szCs w:val="22"/>
        </w:rPr>
        <w:t xml:space="preserve">de los 31 conglomerados definidos </w:t>
      </w:r>
      <w:r w:rsidRPr="00487A20">
        <w:rPr>
          <w:rFonts w:ascii="Arial" w:eastAsia="Arial" w:hAnsi="Arial" w:cs="Arial"/>
          <w:color w:val="000000"/>
          <w:sz w:val="22"/>
          <w:szCs w:val="22"/>
        </w:rPr>
        <w:t>por la Encuesta</w:t>
      </w:r>
      <w:r>
        <w:rPr>
          <w:rFonts w:ascii="Arial" w:eastAsia="Arial" w:hAnsi="Arial" w:cs="Arial"/>
          <w:color w:val="000000"/>
          <w:sz w:val="22"/>
          <w:szCs w:val="22"/>
        </w:rPr>
        <w:t xml:space="preserve"> Permanente de Hogares producidas por INDEC. Esto permite </w:t>
      </w:r>
      <w:r w:rsidR="00F4075F">
        <w:rPr>
          <w:rFonts w:ascii="Arial" w:eastAsia="Arial" w:hAnsi="Arial" w:cs="Arial"/>
          <w:color w:val="000000"/>
          <w:sz w:val="22"/>
          <w:szCs w:val="22"/>
        </w:rPr>
        <w:t xml:space="preserve">evaluar la situación de socioeconómica de la </w:t>
      </w:r>
      <w:r w:rsidR="00F4075F">
        <w:rPr>
          <w:rFonts w:ascii="Arial" w:eastAsia="Arial" w:hAnsi="Arial" w:cs="Arial"/>
          <w:color w:val="000000"/>
          <w:sz w:val="22"/>
          <w:szCs w:val="22"/>
        </w:rPr>
        <w:lastRenderedPageBreak/>
        <w:t>ciudad respecto del país. Esta información se presenta en un panel interactivo como el que se muestra a continuación.</w:t>
      </w:r>
      <w:r>
        <w:rPr>
          <w:rFonts w:ascii="Arial" w:eastAsia="Arial" w:hAnsi="Arial" w:cs="Arial"/>
          <w:color w:val="000000"/>
          <w:sz w:val="22"/>
          <w:szCs w:val="22"/>
        </w:rPr>
        <w:t xml:space="preserve"> </w:t>
      </w:r>
    </w:p>
    <w:p w14:paraId="6544D8A3" w14:textId="77777777" w:rsidR="00AE2D11" w:rsidRDefault="00AE2D11"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AE2D11" w14:paraId="3FC8B65E" w14:textId="77777777" w:rsidTr="00AE2D11">
        <w:tc>
          <w:tcPr>
            <w:tcW w:w="7926" w:type="dxa"/>
          </w:tcPr>
          <w:p w14:paraId="6423783D" w14:textId="75933FC4" w:rsidR="00AE2D11" w:rsidRDefault="00AE2D11" w:rsidP="00AE2D11">
            <w:pPr>
              <w:jc w:val="center"/>
              <w:rPr>
                <w:rFonts w:ascii="Arial" w:eastAsia="Arial" w:hAnsi="Arial" w:cs="Arial"/>
                <w:color w:val="000000"/>
                <w:sz w:val="22"/>
                <w:szCs w:val="22"/>
              </w:rPr>
            </w:pPr>
            <w:r>
              <w:rPr>
                <w:noProof/>
                <w:lang w:val="es-AR"/>
              </w:rPr>
              <w:drawing>
                <wp:inline distT="0" distB="0" distL="0" distR="0" wp14:anchorId="2D02354B" wp14:editId="4DD67DB0">
                  <wp:extent cx="4951562" cy="223501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14462" r="548" b="5697"/>
                          <a:stretch/>
                        </pic:blipFill>
                        <pic:spPr bwMode="auto">
                          <a:xfrm>
                            <a:off x="0" y="0"/>
                            <a:ext cx="4970845" cy="2243718"/>
                          </a:xfrm>
                          <a:prstGeom prst="rect">
                            <a:avLst/>
                          </a:prstGeom>
                          <a:ln>
                            <a:noFill/>
                          </a:ln>
                          <a:extLst>
                            <a:ext uri="{53640926-AAD7-44D8-BBD7-CCE9431645EC}">
                              <a14:shadowObscured xmlns:a14="http://schemas.microsoft.com/office/drawing/2010/main"/>
                            </a:ext>
                          </a:extLst>
                        </pic:spPr>
                      </pic:pic>
                    </a:graphicData>
                  </a:graphic>
                </wp:inline>
              </w:drawing>
            </w:r>
          </w:p>
        </w:tc>
      </w:tr>
      <w:tr w:rsidR="00AE2D11" w14:paraId="01E303A5" w14:textId="77777777" w:rsidTr="00AE2D11">
        <w:tc>
          <w:tcPr>
            <w:tcW w:w="7926" w:type="dxa"/>
          </w:tcPr>
          <w:p w14:paraId="120917CE" w14:textId="589FB978" w:rsidR="00AE2D11" w:rsidRDefault="00AE2D11" w:rsidP="00AE2D11">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487A20">
              <w:rPr>
                <w:rFonts w:ascii="Arial" w:eastAsia="Arial" w:hAnsi="Arial" w:cs="Arial"/>
                <w:color w:val="000000"/>
                <w:sz w:val="18"/>
                <w:szCs w:val="18"/>
              </w:rPr>
              <w:t>6</w:t>
            </w:r>
            <w:r>
              <w:rPr>
                <w:rFonts w:ascii="Arial" w:eastAsia="Arial" w:hAnsi="Arial" w:cs="Arial"/>
                <w:color w:val="000000"/>
                <w:sz w:val="18"/>
                <w:szCs w:val="18"/>
              </w:rPr>
              <w:t>.</w:t>
            </w:r>
            <w:r w:rsidR="00F4075F">
              <w:rPr>
                <w:rFonts w:ascii="Arial" w:eastAsia="Arial" w:hAnsi="Arial" w:cs="Arial"/>
                <w:color w:val="000000"/>
                <w:sz w:val="18"/>
                <w:szCs w:val="18"/>
              </w:rPr>
              <w:t xml:space="preserve"> Panel interactivo de comparación de tasas socioeconómicas</w:t>
            </w:r>
            <w:r w:rsidR="00A15C5C">
              <w:rPr>
                <w:rFonts w:ascii="Arial" w:eastAsia="Arial" w:hAnsi="Arial" w:cs="Arial"/>
                <w:color w:val="000000"/>
                <w:sz w:val="18"/>
                <w:szCs w:val="18"/>
              </w:rPr>
              <w:t xml:space="preserve"> de Villa María respecto de los 31 aglomerados de Argentina.</w:t>
            </w:r>
            <w:r w:rsidR="00F4075F">
              <w:rPr>
                <w:rFonts w:ascii="Arial" w:eastAsia="Arial" w:hAnsi="Arial" w:cs="Arial"/>
                <w:color w:val="000000"/>
                <w:sz w:val="18"/>
                <w:szCs w:val="18"/>
              </w:rPr>
              <w:t xml:space="preserve"> </w:t>
            </w:r>
            <w:r w:rsidR="00A15C5C">
              <w:rPr>
                <w:rFonts w:ascii="Arial" w:eastAsia="Arial" w:hAnsi="Arial" w:cs="Arial"/>
                <w:color w:val="000000"/>
                <w:sz w:val="18"/>
                <w:szCs w:val="18"/>
              </w:rPr>
              <w:t xml:space="preserve">En este caso se muestra la tasa de </w:t>
            </w:r>
            <w:r w:rsidR="00F4075F">
              <w:rPr>
                <w:rFonts w:ascii="Arial" w:eastAsia="Arial" w:hAnsi="Arial" w:cs="Arial"/>
                <w:color w:val="000000"/>
                <w:sz w:val="18"/>
                <w:szCs w:val="18"/>
              </w:rPr>
              <w:t>desocupación</w:t>
            </w:r>
            <w:r w:rsidR="005C1E65">
              <w:rPr>
                <w:rFonts w:ascii="Arial" w:eastAsia="Arial" w:hAnsi="Arial" w:cs="Arial"/>
                <w:color w:val="000000"/>
                <w:sz w:val="18"/>
                <w:szCs w:val="18"/>
              </w:rPr>
              <w:t>, visualizando un ranking a la izquierda, la distribución espacial en el centro y</w:t>
            </w:r>
            <w:r w:rsidR="00631D1F">
              <w:rPr>
                <w:rFonts w:ascii="Arial" w:eastAsia="Arial" w:hAnsi="Arial" w:cs="Arial"/>
                <w:color w:val="000000"/>
                <w:sz w:val="18"/>
                <w:szCs w:val="18"/>
              </w:rPr>
              <w:t xml:space="preserve"> a la derecha la evolución temporal de villa maría y de los aglomerados más cercanos. </w:t>
            </w:r>
            <w:r w:rsidR="00A708FE">
              <w:rPr>
                <w:rFonts w:ascii="Arial" w:eastAsia="Arial" w:hAnsi="Arial" w:cs="Arial"/>
                <w:color w:val="000000"/>
                <w:sz w:val="18"/>
                <w:szCs w:val="18"/>
              </w:rPr>
              <w:t xml:space="preserve">Disponible </w:t>
            </w:r>
            <w:hyperlink r:id="rId17" w:history="1">
              <w:r w:rsidR="00A708FE" w:rsidRPr="00A708FE">
                <w:rPr>
                  <w:rStyle w:val="Hipervnculo"/>
                  <w:rFonts w:ascii="Arial" w:eastAsia="Arial" w:hAnsi="Arial" w:cs="Arial"/>
                  <w:position w:val="0"/>
                  <w:sz w:val="18"/>
                  <w:szCs w:val="18"/>
                </w:rPr>
                <w:t>aquí</w:t>
              </w:r>
            </w:hyperlink>
            <w:r w:rsidR="00631D1F">
              <w:rPr>
                <w:rFonts w:ascii="Arial" w:eastAsia="Arial" w:hAnsi="Arial" w:cs="Arial"/>
                <w:color w:val="000000"/>
                <w:sz w:val="18"/>
                <w:szCs w:val="18"/>
              </w:rPr>
              <w:t xml:space="preserve">. </w:t>
            </w:r>
          </w:p>
        </w:tc>
      </w:tr>
    </w:tbl>
    <w:p w14:paraId="0B457C99" w14:textId="77777777" w:rsidR="00AE2D11" w:rsidRDefault="00AE2D11" w:rsidP="009F0E74">
      <w:pPr>
        <w:pBdr>
          <w:top w:val="nil"/>
          <w:left w:val="nil"/>
          <w:bottom w:val="nil"/>
          <w:right w:val="nil"/>
          <w:between w:val="nil"/>
        </w:pBdr>
        <w:jc w:val="both"/>
        <w:rPr>
          <w:rFonts w:ascii="Arial" w:eastAsia="Arial" w:hAnsi="Arial" w:cs="Arial"/>
          <w:color w:val="000000"/>
          <w:sz w:val="22"/>
          <w:szCs w:val="22"/>
        </w:rPr>
      </w:pPr>
    </w:p>
    <w:p w14:paraId="45CC1595" w14:textId="392977C9"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CONDICIONES DE VIDA</w:t>
      </w:r>
    </w:p>
    <w:p w14:paraId="7EC55D93" w14:textId="77777777" w:rsidR="00401E2A" w:rsidRDefault="00401E2A" w:rsidP="00401E2A">
      <w:pPr>
        <w:pBdr>
          <w:top w:val="nil"/>
          <w:left w:val="nil"/>
          <w:bottom w:val="nil"/>
          <w:right w:val="nil"/>
          <w:between w:val="nil"/>
        </w:pBdr>
        <w:jc w:val="both"/>
        <w:rPr>
          <w:rFonts w:ascii="Arial" w:eastAsia="Arial" w:hAnsi="Arial" w:cs="Arial"/>
          <w:color w:val="000000"/>
          <w:sz w:val="22"/>
          <w:szCs w:val="22"/>
        </w:rPr>
      </w:pPr>
    </w:p>
    <w:p w14:paraId="43B97607" w14:textId="5744173E" w:rsidR="00401E2A" w:rsidRPr="00401E2A" w:rsidRDefault="00401E2A" w:rsidP="00401E2A">
      <w:pPr>
        <w:pBdr>
          <w:top w:val="nil"/>
          <w:left w:val="nil"/>
          <w:bottom w:val="nil"/>
          <w:right w:val="nil"/>
          <w:between w:val="nil"/>
        </w:pBdr>
        <w:jc w:val="both"/>
        <w:rPr>
          <w:rFonts w:ascii="Arial" w:eastAsia="Arial" w:hAnsi="Arial" w:cs="Arial"/>
          <w:color w:val="000000"/>
          <w:sz w:val="22"/>
          <w:szCs w:val="22"/>
        </w:rPr>
      </w:pPr>
      <w:r w:rsidRPr="00401E2A">
        <w:rPr>
          <w:rFonts w:ascii="Arial" w:eastAsia="Arial" w:hAnsi="Arial" w:cs="Arial"/>
          <w:color w:val="000000"/>
          <w:sz w:val="22"/>
          <w:szCs w:val="22"/>
        </w:rPr>
        <w:t xml:space="preserve">Las condiciones de vida son los modos en que las personas desarrollan su existencia, enmarcadas por particularidades individuales, y por el contexto histórico, político, económico y social en el que les toca vivir. </w:t>
      </w:r>
      <w:r w:rsidR="00437510" w:rsidRPr="00437510">
        <w:rPr>
          <w:rFonts w:ascii="Arial" w:eastAsia="Arial" w:hAnsi="Arial" w:cs="Arial"/>
          <w:color w:val="000000"/>
          <w:sz w:val="22"/>
          <w:szCs w:val="22"/>
        </w:rPr>
        <w:t>En est</w:t>
      </w:r>
      <w:r w:rsidR="00437510">
        <w:rPr>
          <w:rFonts w:ascii="Arial" w:eastAsia="Arial" w:hAnsi="Arial" w:cs="Arial"/>
          <w:color w:val="000000"/>
          <w:sz w:val="22"/>
          <w:szCs w:val="22"/>
        </w:rPr>
        <w:t>a</w:t>
      </w:r>
      <w:r w:rsidR="00437510" w:rsidRPr="00437510">
        <w:rPr>
          <w:rFonts w:ascii="Arial" w:eastAsia="Arial" w:hAnsi="Arial" w:cs="Arial"/>
          <w:color w:val="000000"/>
          <w:sz w:val="22"/>
          <w:szCs w:val="22"/>
        </w:rPr>
        <w:t xml:space="preserve"> </w:t>
      </w:r>
      <w:r w:rsidR="00437510">
        <w:rPr>
          <w:rFonts w:ascii="Arial" w:eastAsia="Arial" w:hAnsi="Arial" w:cs="Arial"/>
          <w:color w:val="000000"/>
          <w:sz w:val="22"/>
          <w:szCs w:val="22"/>
        </w:rPr>
        <w:t>sección</w:t>
      </w:r>
      <w:r w:rsidR="00437510" w:rsidRPr="00437510">
        <w:rPr>
          <w:rFonts w:ascii="Arial" w:eastAsia="Arial" w:hAnsi="Arial" w:cs="Arial"/>
          <w:color w:val="000000"/>
          <w:sz w:val="22"/>
          <w:szCs w:val="22"/>
        </w:rPr>
        <w:t xml:space="preserve"> se difunden las estimaciones resultantes</w:t>
      </w:r>
      <w:r w:rsidR="00437510">
        <w:rPr>
          <w:rFonts w:ascii="Arial" w:eastAsia="Arial" w:hAnsi="Arial" w:cs="Arial"/>
          <w:color w:val="000000"/>
          <w:sz w:val="22"/>
          <w:szCs w:val="22"/>
        </w:rPr>
        <w:t xml:space="preserve"> </w:t>
      </w:r>
      <w:r w:rsidR="00437510" w:rsidRPr="00437510">
        <w:rPr>
          <w:rFonts w:ascii="Arial" w:eastAsia="Arial" w:hAnsi="Arial" w:cs="Arial"/>
          <w:color w:val="000000"/>
          <w:sz w:val="22"/>
          <w:szCs w:val="22"/>
        </w:rPr>
        <w:t>sobre pobreza e indigencia, condiciones sanitarias, tipologías de la vivienda, entre otras y sus características habitacionales.</w:t>
      </w:r>
      <w:r w:rsidR="00437510">
        <w:rPr>
          <w:rFonts w:ascii="Arial" w:eastAsia="Arial" w:hAnsi="Arial" w:cs="Arial"/>
          <w:color w:val="000000"/>
          <w:sz w:val="22"/>
          <w:szCs w:val="22"/>
        </w:rPr>
        <w:t xml:space="preserve"> </w:t>
      </w:r>
      <w:r w:rsidRPr="00401E2A">
        <w:rPr>
          <w:rFonts w:ascii="Arial" w:eastAsia="Arial" w:hAnsi="Arial" w:cs="Arial"/>
          <w:color w:val="000000"/>
          <w:sz w:val="22"/>
          <w:szCs w:val="22"/>
        </w:rPr>
        <w:t>Utilizar indicadores que permitan cuantificar estos modos es importante desde múltiples dimensiones para fortalecer la toma de decisiones en cuanto a intervenciones sociales, diseños de programas de inclusión, planeamiento urbanístico, entre otras.</w:t>
      </w:r>
    </w:p>
    <w:p w14:paraId="4164C83A" w14:textId="2D2BF1FF" w:rsidR="003F0CF8" w:rsidRDefault="00401E2A" w:rsidP="00401E2A">
      <w:pPr>
        <w:pBdr>
          <w:top w:val="nil"/>
          <w:left w:val="nil"/>
          <w:bottom w:val="nil"/>
          <w:right w:val="nil"/>
          <w:between w:val="nil"/>
        </w:pBdr>
        <w:jc w:val="both"/>
        <w:rPr>
          <w:rFonts w:ascii="Arial" w:eastAsia="Arial" w:hAnsi="Arial" w:cs="Arial"/>
          <w:color w:val="000000"/>
          <w:sz w:val="22"/>
          <w:szCs w:val="22"/>
        </w:rPr>
      </w:pPr>
      <w:r w:rsidRPr="00401E2A">
        <w:rPr>
          <w:rFonts w:ascii="Arial" w:eastAsia="Arial" w:hAnsi="Arial" w:cs="Arial"/>
          <w:color w:val="000000"/>
          <w:sz w:val="22"/>
          <w:szCs w:val="22"/>
        </w:rPr>
        <w:t>En esta sección, se presentan los resultados correspondientes a un conjunto de indicadores referidos a las Condiciones de Vida de los hogares de la ciudad y sus Municercas.</w:t>
      </w:r>
    </w:p>
    <w:p w14:paraId="47693637" w14:textId="5BA898E8" w:rsidR="00E83999" w:rsidRDefault="00E83999" w:rsidP="00401E2A">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715667" w14:paraId="5C0A8928" w14:textId="77777777" w:rsidTr="00715667">
        <w:tc>
          <w:tcPr>
            <w:tcW w:w="7926" w:type="dxa"/>
          </w:tcPr>
          <w:p w14:paraId="444667D7" w14:textId="0C72887A" w:rsidR="00715667" w:rsidRDefault="0046408D" w:rsidP="00715667">
            <w:pPr>
              <w:jc w:val="center"/>
              <w:rPr>
                <w:rFonts w:ascii="Arial" w:eastAsia="Arial" w:hAnsi="Arial" w:cs="Arial"/>
                <w:color w:val="000000"/>
                <w:sz w:val="22"/>
                <w:szCs w:val="22"/>
              </w:rPr>
            </w:pPr>
            <w:r>
              <w:rPr>
                <w:noProof/>
                <w:lang w:val="es-AR"/>
              </w:rPr>
              <w:lastRenderedPageBreak/>
              <w:drawing>
                <wp:inline distT="0" distB="0" distL="0" distR="0" wp14:anchorId="20EA5EEE" wp14:editId="5FDFF136">
                  <wp:extent cx="4743450" cy="21973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40" t="34626" r="21749" b="23017"/>
                          <a:stretch/>
                        </pic:blipFill>
                        <pic:spPr bwMode="auto">
                          <a:xfrm>
                            <a:off x="0" y="0"/>
                            <a:ext cx="4761011" cy="2205469"/>
                          </a:xfrm>
                          <a:prstGeom prst="rect">
                            <a:avLst/>
                          </a:prstGeom>
                          <a:ln>
                            <a:noFill/>
                          </a:ln>
                          <a:extLst>
                            <a:ext uri="{53640926-AAD7-44D8-BBD7-CCE9431645EC}">
                              <a14:shadowObscured xmlns:a14="http://schemas.microsoft.com/office/drawing/2010/main"/>
                            </a:ext>
                          </a:extLst>
                        </pic:spPr>
                      </pic:pic>
                    </a:graphicData>
                  </a:graphic>
                </wp:inline>
              </w:drawing>
            </w:r>
          </w:p>
        </w:tc>
      </w:tr>
      <w:tr w:rsidR="00715667" w14:paraId="01B2BD10" w14:textId="77777777" w:rsidTr="00715667">
        <w:tc>
          <w:tcPr>
            <w:tcW w:w="7926" w:type="dxa"/>
          </w:tcPr>
          <w:p w14:paraId="1B3CAC82" w14:textId="7AA7315F" w:rsidR="00A708FE" w:rsidRDefault="00715667" w:rsidP="00A708FE">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7</w:t>
            </w:r>
            <w:r>
              <w:rPr>
                <w:rFonts w:ascii="Arial" w:eastAsia="Arial" w:hAnsi="Arial" w:cs="Arial"/>
                <w:color w:val="000000"/>
                <w:sz w:val="18"/>
                <w:szCs w:val="18"/>
              </w:rPr>
              <w:t xml:space="preserve">. </w:t>
            </w:r>
            <w:r w:rsidR="00A708FE">
              <w:rPr>
                <w:rFonts w:ascii="Arial" w:eastAsia="Arial" w:hAnsi="Arial" w:cs="Arial"/>
                <w:color w:val="000000"/>
                <w:sz w:val="18"/>
                <w:szCs w:val="18"/>
              </w:rPr>
              <w:t xml:space="preserve">Panel interactivo de tasas de condiciones de vida. En esta figura se muestra información respecto la clasificación de hogares y personas de acuerdo a las condiciones de vida. El usuario puede seleccionar otros aspectos de información y obtener más información de cada municerca utilizando el mapa interactivo de la izquierda. Disponible </w:t>
            </w:r>
            <w:hyperlink r:id="rId19" w:history="1">
              <w:r w:rsidR="00A708FE" w:rsidRPr="00A708FE">
                <w:rPr>
                  <w:rStyle w:val="Hipervnculo"/>
                  <w:rFonts w:ascii="Arial" w:eastAsia="Arial" w:hAnsi="Arial" w:cs="Arial"/>
                  <w:position w:val="0"/>
                  <w:sz w:val="18"/>
                  <w:szCs w:val="18"/>
                </w:rPr>
                <w:t>aquí</w:t>
              </w:r>
            </w:hyperlink>
            <w:r w:rsidR="00A708FE">
              <w:rPr>
                <w:rFonts w:ascii="Arial" w:eastAsia="Arial" w:hAnsi="Arial" w:cs="Arial"/>
                <w:color w:val="000000"/>
                <w:sz w:val="18"/>
                <w:szCs w:val="18"/>
              </w:rPr>
              <w:t>.</w:t>
            </w:r>
          </w:p>
        </w:tc>
      </w:tr>
    </w:tbl>
    <w:p w14:paraId="545302F3" w14:textId="77777777" w:rsidR="00A708FE" w:rsidRDefault="00A708FE" w:rsidP="00631D1F">
      <w:pPr>
        <w:pBdr>
          <w:top w:val="nil"/>
          <w:left w:val="nil"/>
          <w:bottom w:val="nil"/>
          <w:right w:val="nil"/>
          <w:between w:val="nil"/>
        </w:pBdr>
        <w:jc w:val="both"/>
        <w:rPr>
          <w:rFonts w:ascii="Arial" w:eastAsia="Arial" w:hAnsi="Arial" w:cs="Arial"/>
          <w:b/>
          <w:color w:val="000000"/>
          <w:sz w:val="22"/>
          <w:szCs w:val="22"/>
        </w:rPr>
      </w:pPr>
    </w:p>
    <w:p w14:paraId="7599CD1F" w14:textId="62CFADFF" w:rsidR="00631D1F" w:rsidRPr="005C1E65" w:rsidRDefault="00631D1F" w:rsidP="00631D1F">
      <w:pPr>
        <w:pBdr>
          <w:top w:val="nil"/>
          <w:left w:val="nil"/>
          <w:bottom w:val="nil"/>
          <w:right w:val="nil"/>
          <w:between w:val="nil"/>
        </w:pBdr>
        <w:jc w:val="both"/>
        <w:rPr>
          <w:rFonts w:ascii="Arial" w:eastAsia="Arial" w:hAnsi="Arial" w:cs="Arial"/>
          <w:b/>
          <w:color w:val="000000"/>
          <w:sz w:val="22"/>
          <w:szCs w:val="22"/>
        </w:rPr>
      </w:pPr>
      <w:r w:rsidRPr="005C1E65">
        <w:rPr>
          <w:rFonts w:ascii="Arial" w:eastAsia="Arial" w:hAnsi="Arial" w:cs="Arial"/>
          <w:b/>
          <w:color w:val="000000"/>
          <w:sz w:val="22"/>
          <w:szCs w:val="22"/>
        </w:rPr>
        <w:t xml:space="preserve">Indicadores </w:t>
      </w:r>
      <w:r>
        <w:rPr>
          <w:rFonts w:ascii="Arial" w:eastAsia="Arial" w:hAnsi="Arial" w:cs="Arial"/>
          <w:b/>
          <w:color w:val="000000"/>
          <w:sz w:val="22"/>
          <w:szCs w:val="22"/>
        </w:rPr>
        <w:t>de condiciones de vida</w:t>
      </w:r>
      <w:r w:rsidRPr="005C1E65">
        <w:rPr>
          <w:rFonts w:ascii="Arial" w:eastAsia="Arial" w:hAnsi="Arial" w:cs="Arial"/>
          <w:b/>
          <w:color w:val="000000"/>
          <w:sz w:val="22"/>
          <w:szCs w:val="22"/>
        </w:rPr>
        <w:t xml:space="preserve"> </w:t>
      </w:r>
      <w:r w:rsidR="00A2653F">
        <w:rPr>
          <w:rFonts w:ascii="Arial" w:eastAsia="Arial" w:hAnsi="Arial" w:cs="Arial"/>
          <w:b/>
          <w:color w:val="000000"/>
          <w:sz w:val="22"/>
          <w:szCs w:val="22"/>
        </w:rPr>
        <w:t xml:space="preserve">en </w:t>
      </w:r>
      <w:r w:rsidRPr="005C1E65">
        <w:rPr>
          <w:rFonts w:ascii="Arial" w:eastAsia="Arial" w:hAnsi="Arial" w:cs="Arial"/>
          <w:b/>
          <w:color w:val="000000"/>
          <w:sz w:val="22"/>
          <w:szCs w:val="22"/>
        </w:rPr>
        <w:t>Argentina y Villa María</w:t>
      </w:r>
    </w:p>
    <w:p w14:paraId="23D15E96" w14:textId="114C1942" w:rsidR="00437510" w:rsidRDefault="00437510" w:rsidP="0043751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indicadores de condiciones de vida locales obtenidas de la ETH se comparan, además, con los indicadores de los 31 conglomerados definidos por la Encuesta Permanente de Hogares producidas por INDEC. Esta información se presenta en un panel interactivo como el que se muestra a continuación y permite evaluar las condiciones de vida de la ciudad respecto a la situación nacional. </w:t>
      </w:r>
    </w:p>
    <w:p w14:paraId="7481B04A" w14:textId="09CB7D1A" w:rsidR="00715667" w:rsidRDefault="00715667" w:rsidP="00401E2A">
      <w:pPr>
        <w:pBdr>
          <w:top w:val="nil"/>
          <w:left w:val="nil"/>
          <w:bottom w:val="nil"/>
          <w:right w:val="nil"/>
          <w:between w:val="nil"/>
        </w:pBdr>
        <w:jc w:val="both"/>
        <w:rPr>
          <w:rFonts w:ascii="Arial" w:eastAsia="Arial" w:hAnsi="Arial" w:cs="Arial"/>
          <w:color w:val="000000"/>
          <w:sz w:val="22"/>
          <w:szCs w:val="22"/>
        </w:rPr>
      </w:pPr>
    </w:p>
    <w:p w14:paraId="5E8B0631" w14:textId="1679650A" w:rsidR="00437510" w:rsidRDefault="00437510" w:rsidP="00401E2A">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437510" w14:paraId="7F873B56" w14:textId="77777777" w:rsidTr="00437510">
        <w:tc>
          <w:tcPr>
            <w:tcW w:w="7926" w:type="dxa"/>
          </w:tcPr>
          <w:p w14:paraId="7451C1DD" w14:textId="44227F06" w:rsidR="00437510" w:rsidRDefault="00437510" w:rsidP="00437510">
            <w:pPr>
              <w:jc w:val="center"/>
              <w:rPr>
                <w:rFonts w:ascii="Arial" w:eastAsia="Arial" w:hAnsi="Arial" w:cs="Arial"/>
                <w:color w:val="000000"/>
                <w:sz w:val="22"/>
                <w:szCs w:val="22"/>
              </w:rPr>
            </w:pPr>
            <w:r>
              <w:rPr>
                <w:noProof/>
                <w:lang w:val="es-AR"/>
              </w:rPr>
              <w:drawing>
                <wp:inline distT="0" distB="0" distL="0" distR="0" wp14:anchorId="7A6FF273" wp14:editId="37137A8D">
                  <wp:extent cx="4968815" cy="219142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14694" r="-89" b="6794"/>
                          <a:stretch/>
                        </pic:blipFill>
                        <pic:spPr bwMode="auto">
                          <a:xfrm>
                            <a:off x="0" y="0"/>
                            <a:ext cx="4996162" cy="2203482"/>
                          </a:xfrm>
                          <a:prstGeom prst="rect">
                            <a:avLst/>
                          </a:prstGeom>
                          <a:ln>
                            <a:noFill/>
                          </a:ln>
                          <a:extLst>
                            <a:ext uri="{53640926-AAD7-44D8-BBD7-CCE9431645EC}">
                              <a14:shadowObscured xmlns:a14="http://schemas.microsoft.com/office/drawing/2010/main"/>
                            </a:ext>
                          </a:extLst>
                        </pic:spPr>
                      </pic:pic>
                    </a:graphicData>
                  </a:graphic>
                </wp:inline>
              </w:drawing>
            </w:r>
          </w:p>
        </w:tc>
      </w:tr>
      <w:tr w:rsidR="00437510" w14:paraId="44A6972F" w14:textId="77777777" w:rsidTr="00437510">
        <w:tc>
          <w:tcPr>
            <w:tcW w:w="7926" w:type="dxa"/>
          </w:tcPr>
          <w:p w14:paraId="01FC3C6B" w14:textId="4A1CC697" w:rsidR="00A708FE" w:rsidRPr="00B61C98" w:rsidRDefault="008F0C6E" w:rsidP="00B61C98">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8</w:t>
            </w:r>
            <w:r>
              <w:rPr>
                <w:rFonts w:ascii="Arial" w:eastAsia="Arial" w:hAnsi="Arial" w:cs="Arial"/>
                <w:color w:val="000000"/>
                <w:sz w:val="18"/>
                <w:szCs w:val="18"/>
              </w:rPr>
              <w:t xml:space="preserve">. </w:t>
            </w:r>
            <w:r w:rsidR="00A708FE">
              <w:rPr>
                <w:rFonts w:ascii="Arial" w:eastAsia="Arial" w:hAnsi="Arial" w:cs="Arial"/>
                <w:color w:val="000000"/>
                <w:sz w:val="18"/>
                <w:szCs w:val="18"/>
              </w:rPr>
              <w:t xml:space="preserve">Panel interactivo de comparación de </w:t>
            </w:r>
            <w:r w:rsidR="00B61C98">
              <w:rPr>
                <w:rFonts w:ascii="Arial" w:eastAsia="Arial" w:hAnsi="Arial" w:cs="Arial"/>
                <w:color w:val="000000"/>
                <w:sz w:val="18"/>
                <w:szCs w:val="18"/>
              </w:rPr>
              <w:t xml:space="preserve">indicadores de condiciones de vida </w:t>
            </w:r>
            <w:r w:rsidR="00A708FE">
              <w:rPr>
                <w:rFonts w:ascii="Arial" w:eastAsia="Arial" w:hAnsi="Arial" w:cs="Arial"/>
                <w:color w:val="000000"/>
                <w:sz w:val="18"/>
                <w:szCs w:val="18"/>
              </w:rPr>
              <w:t xml:space="preserve">de Villa María respecto de los 31 aglomerados de Argentina. En este caso se muestra la tasa de </w:t>
            </w:r>
            <w:r w:rsidR="00B61C98">
              <w:rPr>
                <w:rFonts w:ascii="Arial" w:eastAsia="Arial" w:hAnsi="Arial" w:cs="Arial"/>
                <w:color w:val="000000"/>
                <w:sz w:val="18"/>
                <w:szCs w:val="18"/>
              </w:rPr>
              <w:t>pobreza de personas</w:t>
            </w:r>
            <w:r w:rsidR="00A708FE">
              <w:rPr>
                <w:rFonts w:ascii="Arial" w:eastAsia="Arial" w:hAnsi="Arial" w:cs="Arial"/>
                <w:color w:val="000000"/>
                <w:sz w:val="18"/>
                <w:szCs w:val="18"/>
              </w:rPr>
              <w:t>, visualizando un ranking a la izquierda, la distribución espacial en el centro y a la derecha la evolución temporal de villa maría y de los aglomerados más cercanos. Disponible</w:t>
            </w:r>
            <w:r w:rsidR="00B61C98">
              <w:rPr>
                <w:rFonts w:ascii="Arial" w:eastAsia="Arial" w:hAnsi="Arial" w:cs="Arial"/>
                <w:color w:val="000000"/>
                <w:sz w:val="18"/>
                <w:szCs w:val="18"/>
              </w:rPr>
              <w:t xml:space="preserve"> </w:t>
            </w:r>
            <w:hyperlink r:id="rId21" w:history="1">
              <w:r w:rsidR="00B61C98" w:rsidRPr="00B61C98">
                <w:rPr>
                  <w:rStyle w:val="Hipervnculo"/>
                  <w:rFonts w:ascii="Arial" w:eastAsia="Arial" w:hAnsi="Arial" w:cs="Arial"/>
                  <w:position w:val="0"/>
                  <w:sz w:val="18"/>
                  <w:szCs w:val="18"/>
                </w:rPr>
                <w:t>aquí</w:t>
              </w:r>
            </w:hyperlink>
            <w:r w:rsidR="00B61C98">
              <w:rPr>
                <w:rFonts w:ascii="Arial" w:eastAsia="Arial" w:hAnsi="Arial" w:cs="Arial"/>
                <w:color w:val="000000"/>
                <w:sz w:val="18"/>
                <w:szCs w:val="18"/>
              </w:rPr>
              <w:t>.</w:t>
            </w:r>
          </w:p>
        </w:tc>
      </w:tr>
    </w:tbl>
    <w:p w14:paraId="190EEB70" w14:textId="78E225FF"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lastRenderedPageBreak/>
        <w:t>SEGURIDAD Y VICTIMIZACIÓN</w:t>
      </w:r>
    </w:p>
    <w:p w14:paraId="181E3F23"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La principal fuente de información oficial sobre los hechos delictivos son los registros administrativos, policiales y judiciales. Sin embargo, estos registros no captan aquellos casos en los cuales los delitos no son reportados a las autoridades competentes, por lo que no son contabilizados en las estadísticas que se elaboran. Como herramienta para contrarrestar esta limitación, mediante la ETH se relevan los delitos que no fueron denunciados, complementando la información generada por los registros administrativos, proporcionando una estimación de los hechos delictivos no denunciados y aportando un instrumento de diagnóstico para evaluar el vínculo entre la ciudadanía y el sistema de seguridad pública.</w:t>
      </w:r>
    </w:p>
    <w:p w14:paraId="6C6AD431" w14:textId="616E1776" w:rsidR="003F0CF8"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Entre los principales indicadores se encuentran: los valores estimados de Prevalencia de los Delitos contra el Hogar y contra la Persona, las Tasas de No Denuncia, los indicadores sobre la Evaluación del Sistema de Seguridad y Justicia y los indicadores sobre la Percepción de Seguridad Ciudadana.</w:t>
      </w:r>
    </w:p>
    <w:p w14:paraId="5786EB46" w14:textId="6DFCBB5D" w:rsidR="000A1385" w:rsidRDefault="000A1385"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0A1385" w14:paraId="43620ED0" w14:textId="77777777" w:rsidTr="000A1385">
        <w:tc>
          <w:tcPr>
            <w:tcW w:w="7926" w:type="dxa"/>
          </w:tcPr>
          <w:p w14:paraId="0E53E417" w14:textId="0A4D72F5" w:rsidR="000A1385" w:rsidRDefault="000A1385" w:rsidP="000A1385">
            <w:pPr>
              <w:jc w:val="center"/>
              <w:rPr>
                <w:rFonts w:ascii="Arial" w:eastAsia="Arial" w:hAnsi="Arial" w:cs="Arial"/>
                <w:color w:val="000000"/>
                <w:sz w:val="22"/>
                <w:szCs w:val="22"/>
              </w:rPr>
            </w:pPr>
            <w:r>
              <w:rPr>
                <w:noProof/>
                <w:lang w:val="es-AR"/>
              </w:rPr>
              <w:drawing>
                <wp:inline distT="0" distB="0" distL="0" distR="0" wp14:anchorId="583FE137" wp14:editId="53C1EA6B">
                  <wp:extent cx="4942936" cy="216627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47" t="25881" r="8761" b="9273"/>
                          <a:stretch/>
                        </pic:blipFill>
                        <pic:spPr bwMode="auto">
                          <a:xfrm>
                            <a:off x="0" y="0"/>
                            <a:ext cx="4962868" cy="2175013"/>
                          </a:xfrm>
                          <a:prstGeom prst="rect">
                            <a:avLst/>
                          </a:prstGeom>
                          <a:ln>
                            <a:noFill/>
                          </a:ln>
                          <a:extLst>
                            <a:ext uri="{53640926-AAD7-44D8-BBD7-CCE9431645EC}">
                              <a14:shadowObscured xmlns:a14="http://schemas.microsoft.com/office/drawing/2010/main"/>
                            </a:ext>
                          </a:extLst>
                        </pic:spPr>
                      </pic:pic>
                    </a:graphicData>
                  </a:graphic>
                </wp:inline>
              </w:drawing>
            </w:r>
          </w:p>
        </w:tc>
      </w:tr>
      <w:tr w:rsidR="000A1385" w14:paraId="3F22C780" w14:textId="77777777" w:rsidTr="000A1385">
        <w:tc>
          <w:tcPr>
            <w:tcW w:w="7926" w:type="dxa"/>
          </w:tcPr>
          <w:p w14:paraId="23DF0DD7" w14:textId="63B888A9" w:rsidR="00B61C98" w:rsidRPr="00B61C98" w:rsidRDefault="000A1385" w:rsidP="00B61C98">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9</w:t>
            </w:r>
            <w:r>
              <w:rPr>
                <w:rFonts w:ascii="Arial" w:eastAsia="Arial" w:hAnsi="Arial" w:cs="Arial"/>
                <w:color w:val="000000"/>
                <w:sz w:val="18"/>
                <w:szCs w:val="18"/>
              </w:rPr>
              <w:t xml:space="preserve">. </w:t>
            </w:r>
            <w:r w:rsidR="00B61C98">
              <w:rPr>
                <w:rFonts w:ascii="Arial" w:eastAsia="Arial" w:hAnsi="Arial" w:cs="Arial"/>
                <w:color w:val="000000"/>
                <w:sz w:val="18"/>
                <w:szCs w:val="18"/>
              </w:rPr>
              <w:t xml:space="preserve">Panel interactivo de indicadores sobre percepción. En esta figura se muestra información respecto al sistema de seguridad. El usuario puede seleccionar otros aspectos de información y obtener más información de cada municerca utilizando el mapa interactivo de la izquierda. Disponible </w:t>
            </w:r>
            <w:hyperlink r:id="rId23" w:history="1">
              <w:r w:rsidR="00B61C98" w:rsidRPr="00B61C98">
                <w:rPr>
                  <w:rStyle w:val="Hipervnculo"/>
                  <w:rFonts w:ascii="Arial" w:eastAsia="Arial" w:hAnsi="Arial" w:cs="Arial"/>
                  <w:position w:val="0"/>
                  <w:sz w:val="18"/>
                  <w:szCs w:val="18"/>
                </w:rPr>
                <w:t>aquí</w:t>
              </w:r>
            </w:hyperlink>
            <w:r w:rsidR="00B61C98">
              <w:rPr>
                <w:rFonts w:ascii="Arial" w:eastAsia="Arial" w:hAnsi="Arial" w:cs="Arial"/>
                <w:color w:val="000000"/>
                <w:sz w:val="18"/>
                <w:szCs w:val="18"/>
              </w:rPr>
              <w:t>.</w:t>
            </w:r>
          </w:p>
        </w:tc>
      </w:tr>
    </w:tbl>
    <w:p w14:paraId="4B9F47CA" w14:textId="77777777" w:rsidR="003F0CF8" w:rsidRDefault="003F0CF8">
      <w:pPr>
        <w:pBdr>
          <w:top w:val="nil"/>
          <w:left w:val="nil"/>
          <w:bottom w:val="nil"/>
          <w:right w:val="nil"/>
          <w:between w:val="nil"/>
        </w:pBdr>
        <w:tabs>
          <w:tab w:val="left" w:pos="180"/>
        </w:tabs>
        <w:jc w:val="both"/>
        <w:rPr>
          <w:rFonts w:ascii="Arial" w:eastAsia="Arial" w:hAnsi="Arial" w:cs="Arial"/>
          <w:color w:val="000000"/>
          <w:sz w:val="22"/>
          <w:szCs w:val="22"/>
        </w:rPr>
      </w:pPr>
    </w:p>
    <w:p w14:paraId="3891F7B6" w14:textId="33C0BF55" w:rsidR="003F0CF8" w:rsidRDefault="002E4EA5">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GÉNERO</w:t>
      </w:r>
    </w:p>
    <w:p w14:paraId="6E380C47"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D11779">
        <w:rPr>
          <w:rFonts w:ascii="Arial" w:eastAsia="Arial" w:hAnsi="Arial" w:cs="Arial"/>
          <w:color w:val="000000"/>
          <w:sz w:val="22"/>
          <w:szCs w:val="22"/>
        </w:rPr>
        <w:t>Como Gobierno Municipal estamos comprometidos a trabajar en el logro de los Objetivos de Desarrollo Sostenible (ODS) en conjunto</w:t>
      </w:r>
      <w:r w:rsidRPr="000A1385">
        <w:rPr>
          <w:rFonts w:ascii="Arial" w:eastAsia="Arial" w:hAnsi="Arial" w:cs="Arial"/>
          <w:color w:val="000000"/>
          <w:sz w:val="22"/>
          <w:szCs w:val="22"/>
        </w:rPr>
        <w:t xml:space="preserve"> con el Gobierno Provincial y Nacional e interactuando con Organismos Internacionales, y así lo venimos haciendo. En esta dirección, cada una de las Políticas de Estado definidas están alineadas a los 17 ODS, los que -según el grado de inherencia específica- atraviesan transversalmente a todas las Políticas de Estado del Gobierno Municipal.</w:t>
      </w:r>
    </w:p>
    <w:p w14:paraId="526B9BBB"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 xml:space="preserve">Cada tres meses, el programa -Encuesta Trimestral de Hogares (ETH)- permite actualizar las estimaciones territoriales de los indicadores de Calidad de Vida de </w:t>
      </w:r>
      <w:r w:rsidRPr="000A1385">
        <w:rPr>
          <w:rFonts w:ascii="Arial" w:eastAsia="Arial" w:hAnsi="Arial" w:cs="Arial"/>
          <w:color w:val="000000"/>
          <w:sz w:val="22"/>
          <w:szCs w:val="22"/>
        </w:rPr>
        <w:lastRenderedPageBreak/>
        <w:t>la población villamariense y a través de ellos, se optimiza la toma de decisiones con el objetivo de promover acciones en busca de la igualdad de oportunidades.</w:t>
      </w:r>
    </w:p>
    <w:p w14:paraId="5AAC89B3" w14:textId="1D27B013"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Esta iniciativa se fortalece a través del trabajo conjunto entre las Secretaría de Inclusión Social y Territorio y la Secretaría de Economía y Modernización, en la conformación de un Observatorio de Violencias y Desigualdades por motivos de Género.</w:t>
      </w:r>
      <w:r w:rsidR="008E227C">
        <w:rPr>
          <w:rFonts w:ascii="Arial" w:eastAsia="Arial" w:hAnsi="Arial" w:cs="Arial"/>
          <w:color w:val="000000"/>
          <w:sz w:val="22"/>
          <w:szCs w:val="22"/>
        </w:rPr>
        <w:t xml:space="preserve"> </w:t>
      </w:r>
    </w:p>
    <w:p w14:paraId="26CA572A" w14:textId="18295AB3" w:rsid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El Observatorio de Violencias y Desigualdades por motivos de Género de la ciudad de Villa María, se conforma como el espacio físico y virtual donde se recoge, procesa, analiza y difunde información relevante, periódica, comparable, oportuna y de calidad para apoyar el diseño, implementación y gestión de políticas públicas a nivel local tendientes a la prevención, asistencia y erradicación de las violencias por motivos de género y de todas las formas de vulneración de los derechos de las mujeres y colectivos L.G.B.T.I.Q.+, por su condición de tales, así como de la capacidad de respuesta de dichas políticas.</w:t>
      </w:r>
    </w:p>
    <w:p w14:paraId="05893D3A" w14:textId="77777777" w:rsidR="00B61C98" w:rsidRDefault="00B61C98"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B3793E" w14:paraId="1EB4EDD6" w14:textId="77777777" w:rsidTr="00B61C98">
        <w:tc>
          <w:tcPr>
            <w:tcW w:w="7926" w:type="dxa"/>
          </w:tcPr>
          <w:p w14:paraId="471228D2" w14:textId="11031744" w:rsidR="00B3793E" w:rsidRDefault="00B3793E" w:rsidP="00B3793E">
            <w:pPr>
              <w:jc w:val="center"/>
              <w:rPr>
                <w:rFonts w:ascii="Arial" w:eastAsia="Arial" w:hAnsi="Arial" w:cs="Arial"/>
                <w:color w:val="000000"/>
                <w:sz w:val="22"/>
                <w:szCs w:val="22"/>
              </w:rPr>
            </w:pPr>
            <w:r>
              <w:rPr>
                <w:noProof/>
                <w:lang w:val="es-AR"/>
              </w:rPr>
              <w:drawing>
                <wp:inline distT="0" distB="0" distL="0" distR="0" wp14:anchorId="3EA05416" wp14:editId="325554C1">
                  <wp:extent cx="4565176" cy="3029452"/>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15" t="20234" r="20920" b="10407"/>
                          <a:stretch/>
                        </pic:blipFill>
                        <pic:spPr bwMode="auto">
                          <a:xfrm>
                            <a:off x="0" y="0"/>
                            <a:ext cx="4570487" cy="3032977"/>
                          </a:xfrm>
                          <a:prstGeom prst="rect">
                            <a:avLst/>
                          </a:prstGeom>
                          <a:ln>
                            <a:noFill/>
                          </a:ln>
                          <a:extLst>
                            <a:ext uri="{53640926-AAD7-44D8-BBD7-CCE9431645EC}">
                              <a14:shadowObscured xmlns:a14="http://schemas.microsoft.com/office/drawing/2010/main"/>
                            </a:ext>
                          </a:extLst>
                        </pic:spPr>
                      </pic:pic>
                    </a:graphicData>
                  </a:graphic>
                </wp:inline>
              </w:drawing>
            </w:r>
          </w:p>
        </w:tc>
      </w:tr>
      <w:tr w:rsidR="00B3793E" w14:paraId="24D3F708" w14:textId="77777777" w:rsidTr="00B61C98">
        <w:tc>
          <w:tcPr>
            <w:tcW w:w="7926" w:type="dxa"/>
          </w:tcPr>
          <w:p w14:paraId="1E14F3A6" w14:textId="33538C54" w:rsidR="00B3793E" w:rsidRDefault="00B3793E" w:rsidP="00B3793E">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10</w:t>
            </w:r>
            <w:r>
              <w:rPr>
                <w:rFonts w:ascii="Arial" w:eastAsia="Arial" w:hAnsi="Arial" w:cs="Arial"/>
                <w:color w:val="000000"/>
                <w:sz w:val="18"/>
                <w:szCs w:val="18"/>
              </w:rPr>
              <w:t>. Panel interactivo de</w:t>
            </w:r>
            <w:r w:rsidR="00EB1388">
              <w:rPr>
                <w:rFonts w:ascii="Arial" w:eastAsia="Arial" w:hAnsi="Arial" w:cs="Arial"/>
                <w:color w:val="000000"/>
                <w:sz w:val="18"/>
                <w:szCs w:val="18"/>
              </w:rPr>
              <w:t>scriptivo de la población villamariense por sexo.</w:t>
            </w:r>
            <w:r w:rsidR="008E227C">
              <w:rPr>
                <w:rFonts w:ascii="Arial" w:eastAsia="Arial" w:hAnsi="Arial" w:cs="Arial"/>
                <w:color w:val="000000"/>
                <w:sz w:val="18"/>
                <w:szCs w:val="18"/>
              </w:rPr>
              <w:t xml:space="preserve"> Disponible </w:t>
            </w:r>
            <w:hyperlink r:id="rId25" w:history="1">
              <w:r w:rsidR="008E227C" w:rsidRPr="008E227C">
                <w:rPr>
                  <w:rStyle w:val="Hipervnculo"/>
                  <w:rFonts w:ascii="Arial" w:eastAsia="Arial" w:hAnsi="Arial" w:cs="Arial"/>
                  <w:position w:val="0"/>
                  <w:sz w:val="18"/>
                  <w:szCs w:val="18"/>
                </w:rPr>
                <w:t>aquí</w:t>
              </w:r>
            </w:hyperlink>
            <w:r w:rsidR="008E227C">
              <w:rPr>
                <w:rFonts w:ascii="Arial" w:eastAsia="Arial" w:hAnsi="Arial" w:cs="Arial"/>
                <w:color w:val="000000"/>
                <w:sz w:val="18"/>
                <w:szCs w:val="18"/>
              </w:rPr>
              <w:t>.</w:t>
            </w:r>
          </w:p>
        </w:tc>
      </w:tr>
    </w:tbl>
    <w:p w14:paraId="09CF3E57" w14:textId="03D013F6" w:rsidR="000A1385" w:rsidRDefault="000A1385" w:rsidP="000A1385">
      <w:pPr>
        <w:pBdr>
          <w:top w:val="nil"/>
          <w:left w:val="nil"/>
          <w:bottom w:val="nil"/>
          <w:right w:val="nil"/>
          <w:between w:val="nil"/>
        </w:pBdr>
        <w:jc w:val="both"/>
        <w:rPr>
          <w:rFonts w:ascii="Arial" w:eastAsia="Arial" w:hAnsi="Arial" w:cs="Arial"/>
          <w:color w:val="000000"/>
          <w:sz w:val="22"/>
          <w:szCs w:val="22"/>
        </w:rPr>
      </w:pPr>
    </w:p>
    <w:p w14:paraId="609A8720" w14:textId="4AFC60AD" w:rsidR="00C3757D" w:rsidRDefault="00C3757D" w:rsidP="000A138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Dentro de esta sección se presentan múltiples dimensiones de análisis </w:t>
      </w:r>
      <w:r w:rsidR="005E4AC0">
        <w:rPr>
          <w:rFonts w:ascii="Arial" w:eastAsia="Arial" w:hAnsi="Arial" w:cs="Arial"/>
          <w:color w:val="000000"/>
          <w:sz w:val="22"/>
          <w:szCs w:val="22"/>
        </w:rPr>
        <w:t>como educación</w:t>
      </w:r>
      <w:r>
        <w:rPr>
          <w:rFonts w:ascii="Arial" w:eastAsia="Arial" w:hAnsi="Arial" w:cs="Arial"/>
          <w:color w:val="000000"/>
          <w:sz w:val="22"/>
          <w:szCs w:val="22"/>
        </w:rPr>
        <w:t xml:space="preserve">, sociodemográfico, salud, mercado laboral, disidencias, discapacidades, violencia de </w:t>
      </w:r>
      <w:r w:rsidR="005E4AC0">
        <w:rPr>
          <w:rFonts w:ascii="Arial" w:eastAsia="Arial" w:hAnsi="Arial" w:cs="Arial"/>
          <w:color w:val="000000"/>
          <w:sz w:val="22"/>
          <w:szCs w:val="22"/>
        </w:rPr>
        <w:t>género,</w:t>
      </w:r>
      <w:r>
        <w:rPr>
          <w:rFonts w:ascii="Arial" w:eastAsia="Arial" w:hAnsi="Arial" w:cs="Arial"/>
          <w:color w:val="000000"/>
          <w:sz w:val="22"/>
          <w:szCs w:val="22"/>
        </w:rPr>
        <w:t xml:space="preserve"> </w:t>
      </w:r>
      <w:r w:rsidR="005E4AC0">
        <w:rPr>
          <w:rFonts w:ascii="Arial" w:eastAsia="Arial" w:hAnsi="Arial" w:cs="Arial"/>
          <w:color w:val="000000"/>
          <w:sz w:val="22"/>
          <w:szCs w:val="22"/>
        </w:rPr>
        <w:t xml:space="preserve">indicadores estandarizados, </w:t>
      </w:r>
      <w:r>
        <w:rPr>
          <w:rFonts w:ascii="Arial" w:eastAsia="Arial" w:hAnsi="Arial" w:cs="Arial"/>
          <w:color w:val="000000"/>
          <w:sz w:val="22"/>
          <w:szCs w:val="22"/>
        </w:rPr>
        <w:t xml:space="preserve">entre otras. </w:t>
      </w:r>
      <w:r w:rsidR="008E227C">
        <w:rPr>
          <w:rFonts w:ascii="Arial" w:eastAsia="Arial" w:hAnsi="Arial" w:cs="Arial"/>
          <w:color w:val="000000"/>
          <w:sz w:val="22"/>
          <w:szCs w:val="22"/>
        </w:rPr>
        <w:t xml:space="preserve">Los múltiples indicadores de género producidos por el Centro Estadísticos se encuentran publicados en el subportal web: </w:t>
      </w:r>
      <w:hyperlink r:id="rId26" w:history="1">
        <w:r w:rsidR="008E227C" w:rsidRPr="008E227C">
          <w:rPr>
            <w:rStyle w:val="Hipervnculo"/>
            <w:rFonts w:ascii="Arial" w:eastAsia="Arial" w:hAnsi="Arial" w:cs="Arial"/>
            <w:position w:val="0"/>
            <w:sz w:val="22"/>
            <w:szCs w:val="22"/>
          </w:rPr>
          <w:t>https://portal-villamaria.opendata.arcgis.com/pages/genero</w:t>
        </w:r>
      </w:hyperlink>
      <w:r w:rsidR="008E227C">
        <w:rPr>
          <w:rFonts w:ascii="Arial" w:eastAsia="Arial" w:hAnsi="Arial" w:cs="Arial"/>
          <w:color w:val="000000"/>
          <w:sz w:val="22"/>
          <w:szCs w:val="22"/>
        </w:rPr>
        <w:t>.</w:t>
      </w:r>
    </w:p>
    <w:p w14:paraId="0B053D0E" w14:textId="74D92F66" w:rsidR="00C3757D" w:rsidRDefault="00C3757D" w:rsidP="000A1385">
      <w:pPr>
        <w:pBdr>
          <w:top w:val="nil"/>
          <w:left w:val="nil"/>
          <w:bottom w:val="nil"/>
          <w:right w:val="nil"/>
          <w:between w:val="nil"/>
        </w:pBdr>
        <w:jc w:val="both"/>
        <w:rPr>
          <w:rFonts w:ascii="Arial" w:eastAsia="Arial" w:hAnsi="Arial" w:cs="Arial"/>
          <w:color w:val="000000"/>
          <w:sz w:val="22"/>
          <w:szCs w:val="22"/>
        </w:rPr>
      </w:pPr>
    </w:p>
    <w:p w14:paraId="5642F04A" w14:textId="61093866"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39C58203" w14:textId="69198893"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1399674A" w14:textId="30D01573" w:rsidR="000824F8" w:rsidRDefault="000824F8"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F50741" w14:paraId="21E35733" w14:textId="77777777" w:rsidTr="00F50741">
        <w:tc>
          <w:tcPr>
            <w:tcW w:w="7926" w:type="dxa"/>
          </w:tcPr>
          <w:p w14:paraId="34BBC0E1" w14:textId="56F17E40" w:rsidR="00F50741" w:rsidRDefault="00F50741" w:rsidP="00F50741">
            <w:pPr>
              <w:jc w:val="center"/>
              <w:rPr>
                <w:rFonts w:ascii="Arial" w:eastAsia="Arial" w:hAnsi="Arial" w:cs="Arial"/>
                <w:color w:val="000000"/>
                <w:sz w:val="22"/>
                <w:szCs w:val="22"/>
              </w:rPr>
            </w:pPr>
            <w:r>
              <w:rPr>
                <w:noProof/>
                <w:lang w:val="es-AR"/>
              </w:rPr>
              <w:drawing>
                <wp:inline distT="0" distB="0" distL="0" distR="0" wp14:anchorId="09855032" wp14:editId="1ECCA246">
                  <wp:extent cx="3562350" cy="24959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57" t="12097" r="22884" b="16331"/>
                          <a:stretch/>
                        </pic:blipFill>
                        <pic:spPr bwMode="auto">
                          <a:xfrm>
                            <a:off x="0" y="0"/>
                            <a:ext cx="3568521" cy="2500313"/>
                          </a:xfrm>
                          <a:prstGeom prst="rect">
                            <a:avLst/>
                          </a:prstGeom>
                          <a:ln>
                            <a:noFill/>
                          </a:ln>
                          <a:extLst>
                            <a:ext uri="{53640926-AAD7-44D8-BBD7-CCE9431645EC}">
                              <a14:shadowObscured xmlns:a14="http://schemas.microsoft.com/office/drawing/2010/main"/>
                            </a:ext>
                          </a:extLst>
                        </pic:spPr>
                      </pic:pic>
                    </a:graphicData>
                  </a:graphic>
                </wp:inline>
              </w:drawing>
            </w:r>
          </w:p>
        </w:tc>
      </w:tr>
      <w:tr w:rsidR="00F50741" w14:paraId="5496E3E0" w14:textId="77777777" w:rsidTr="00F50741">
        <w:tc>
          <w:tcPr>
            <w:tcW w:w="7926" w:type="dxa"/>
          </w:tcPr>
          <w:p w14:paraId="299502BD" w14:textId="04FEE724" w:rsidR="00F50741" w:rsidRPr="00F50741" w:rsidRDefault="00F50741" w:rsidP="00F50741">
            <w:pPr>
              <w:jc w:val="center"/>
              <w:rPr>
                <w:rFonts w:ascii="Arial" w:eastAsia="Arial" w:hAnsi="Arial" w:cs="Arial"/>
                <w:color w:val="000000"/>
                <w:sz w:val="18"/>
                <w:szCs w:val="18"/>
              </w:rPr>
            </w:pPr>
            <w:r w:rsidRPr="00F50741">
              <w:rPr>
                <w:rFonts w:ascii="Arial" w:eastAsia="Arial" w:hAnsi="Arial" w:cs="Arial"/>
                <w:color w:val="000000"/>
                <w:sz w:val="18"/>
                <w:szCs w:val="18"/>
              </w:rPr>
              <w:t>Figura 11. Dimensiones de análisis del subpoortal web de género. El usuario puede entrar a cada dimensión y visualizar paneles interactivos de los indicadores correspondientes.</w:t>
            </w:r>
            <w:r w:rsidR="00742E26">
              <w:rPr>
                <w:rFonts w:ascii="Arial" w:eastAsia="Arial" w:hAnsi="Arial" w:cs="Arial"/>
                <w:color w:val="000000"/>
                <w:sz w:val="18"/>
                <w:szCs w:val="18"/>
              </w:rPr>
              <w:t xml:space="preserve"> Disponible </w:t>
            </w:r>
            <w:hyperlink r:id="rId28" w:history="1">
              <w:r w:rsidR="00742E26" w:rsidRPr="00742E26">
                <w:rPr>
                  <w:rStyle w:val="Hipervnculo"/>
                  <w:rFonts w:ascii="Arial" w:eastAsia="Arial" w:hAnsi="Arial" w:cs="Arial"/>
                  <w:position w:val="0"/>
                  <w:sz w:val="18"/>
                  <w:szCs w:val="18"/>
                </w:rPr>
                <w:t>aquí</w:t>
              </w:r>
            </w:hyperlink>
            <w:r w:rsidR="00742E26">
              <w:rPr>
                <w:rFonts w:ascii="Arial" w:eastAsia="Arial" w:hAnsi="Arial" w:cs="Arial"/>
                <w:color w:val="000000"/>
                <w:sz w:val="18"/>
                <w:szCs w:val="18"/>
              </w:rPr>
              <w:t>.</w:t>
            </w:r>
          </w:p>
        </w:tc>
      </w:tr>
    </w:tbl>
    <w:p w14:paraId="7BCFB2B5" w14:textId="6A07BB45"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45A82719" w14:textId="77777777"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201D8ABD" w14:textId="53E071F1" w:rsidR="002E585D" w:rsidRPr="002E585D" w:rsidRDefault="002E585D" w:rsidP="000A1385">
      <w:pPr>
        <w:pBdr>
          <w:top w:val="nil"/>
          <w:left w:val="nil"/>
          <w:bottom w:val="nil"/>
          <w:right w:val="nil"/>
          <w:between w:val="nil"/>
        </w:pBdr>
        <w:jc w:val="both"/>
        <w:rPr>
          <w:rFonts w:ascii="Arial" w:eastAsia="Arial" w:hAnsi="Arial" w:cs="Arial"/>
          <w:b/>
          <w:bCs/>
          <w:color w:val="000000"/>
          <w:sz w:val="22"/>
          <w:szCs w:val="22"/>
        </w:rPr>
      </w:pPr>
      <w:r w:rsidRPr="002E585D">
        <w:rPr>
          <w:rFonts w:ascii="Arial" w:eastAsia="Arial" w:hAnsi="Arial" w:cs="Arial"/>
          <w:b/>
          <w:bCs/>
          <w:color w:val="000000"/>
          <w:sz w:val="22"/>
          <w:szCs w:val="22"/>
        </w:rPr>
        <w:t>Indicadores Estandarizados</w:t>
      </w:r>
    </w:p>
    <w:p w14:paraId="2FD44D67" w14:textId="24B4AB7B"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591F9F">
        <w:rPr>
          <w:rFonts w:ascii="Arial" w:eastAsia="Arial" w:hAnsi="Arial" w:cs="Arial"/>
          <w:color w:val="000000"/>
          <w:sz w:val="22"/>
          <w:szCs w:val="22"/>
        </w:rPr>
        <w:t>Dentro del marco referencial, que como Centro Estadístico municipal optamos por retomar, se encuentran principalmente los aportes metodológicos y teóricos de la CEPAL y la adecuación del SIGBA (2018) de los indicadores que conforman el Sistema de Indicadores de Género.</w:t>
      </w:r>
    </w:p>
    <w:p w14:paraId="63B43B8B" w14:textId="42234BE0"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El SIGBA (2018) es una agrupación de datos estadísticos y de registros que dan una amplia visión de la situación de género en la ciudad de Buenos Aires.</w:t>
      </w:r>
    </w:p>
    <w:p w14:paraId="145D3EE8" w14:textId="77777777"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La CEPAL es un organismo de Naciones Unidas que nuclea, entre otros, los asuntos de género, considerando así un papel activo en la incorporación de la perspectiva de género, en el ámbito del desarrollo regional de América Latina y el Caribe.</w:t>
      </w:r>
    </w:p>
    <w:p w14:paraId="197C43F8" w14:textId="046F4ADF" w:rsid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Como Centro Estadístico Local y Regional de la Municipalidad de Villa María, nos proponemos avanzar sobre estos lineamientos e indicadores estandarizados, para dar a conocer cuál es la realidad en términos de Indicadores de Género, dentro de la cual se deben proyectar y avanzar las políticas públicas. Esto permitirá perfilar una agenda cuyo objetivo sea lograr la igualdad de género y reducir las desigualdades que atraviesan a toda la población en general, pero en particular, a las mujeres, mujeres jóvenes y niñas.</w:t>
      </w:r>
    </w:p>
    <w:p w14:paraId="3C97FD57" w14:textId="49ECB933" w:rsidR="005E4AC0" w:rsidRPr="002E585D" w:rsidRDefault="005E4AC0" w:rsidP="002E585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esta sección se presentan mapas comparativos de múltiples indicadores estandarizados, en América Latina y el Caribe, como: cantidad y tasas de femicidios, tasa de desocupación de mujeres y varones y tasa de participación laboral de mujeres y varones.  </w:t>
      </w:r>
    </w:p>
    <w:p w14:paraId="52D8DE1A" w14:textId="24315666" w:rsidR="003F0CF8" w:rsidRDefault="003F0CF8">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2E585D" w14:paraId="2CB45A83" w14:textId="77777777" w:rsidTr="0003772A">
        <w:tc>
          <w:tcPr>
            <w:tcW w:w="7926" w:type="dxa"/>
          </w:tcPr>
          <w:p w14:paraId="4E1592FA" w14:textId="399F1304" w:rsidR="002E585D" w:rsidRDefault="002E585D">
            <w:pPr>
              <w:jc w:val="both"/>
              <w:rPr>
                <w:rFonts w:ascii="Arial" w:eastAsia="Arial" w:hAnsi="Arial" w:cs="Arial"/>
                <w:color w:val="000000"/>
                <w:sz w:val="22"/>
                <w:szCs w:val="22"/>
              </w:rPr>
            </w:pPr>
            <w:r>
              <w:rPr>
                <w:noProof/>
                <w:lang w:val="es-AR"/>
              </w:rPr>
              <w:drawing>
                <wp:inline distT="0" distB="0" distL="0" distR="0" wp14:anchorId="26A9470A" wp14:editId="18CC0ABD">
                  <wp:extent cx="4879484" cy="209461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19" t="27021" r="6953" b="8061"/>
                          <a:stretch/>
                        </pic:blipFill>
                        <pic:spPr bwMode="auto">
                          <a:xfrm>
                            <a:off x="0" y="0"/>
                            <a:ext cx="4909487" cy="2107493"/>
                          </a:xfrm>
                          <a:prstGeom prst="rect">
                            <a:avLst/>
                          </a:prstGeom>
                          <a:ln>
                            <a:noFill/>
                          </a:ln>
                          <a:extLst>
                            <a:ext uri="{53640926-AAD7-44D8-BBD7-CCE9431645EC}">
                              <a14:shadowObscured xmlns:a14="http://schemas.microsoft.com/office/drawing/2010/main"/>
                            </a:ext>
                          </a:extLst>
                        </pic:spPr>
                      </pic:pic>
                    </a:graphicData>
                  </a:graphic>
                </wp:inline>
              </w:drawing>
            </w:r>
          </w:p>
        </w:tc>
      </w:tr>
      <w:tr w:rsidR="002E585D" w14:paraId="2AE8ACC9" w14:textId="77777777" w:rsidTr="0003772A">
        <w:tc>
          <w:tcPr>
            <w:tcW w:w="7926" w:type="dxa"/>
          </w:tcPr>
          <w:p w14:paraId="1E011754" w14:textId="0AE19312" w:rsidR="002E585D" w:rsidRPr="002E585D" w:rsidRDefault="002E585D" w:rsidP="002E585D">
            <w:pPr>
              <w:jc w:val="center"/>
              <w:rPr>
                <w:rFonts w:ascii="Arial" w:eastAsia="Arial" w:hAnsi="Arial" w:cs="Arial"/>
                <w:color w:val="000000"/>
                <w:sz w:val="18"/>
                <w:szCs w:val="18"/>
              </w:rPr>
            </w:pPr>
            <w:r w:rsidRPr="002E585D">
              <w:rPr>
                <w:rFonts w:ascii="Arial" w:eastAsia="Arial" w:hAnsi="Arial" w:cs="Arial"/>
                <w:color w:val="000000"/>
                <w:sz w:val="18"/>
                <w:szCs w:val="18"/>
              </w:rPr>
              <w:t xml:space="preserve">Figura </w:t>
            </w:r>
            <w:r w:rsidR="008F5684">
              <w:rPr>
                <w:rFonts w:ascii="Arial" w:eastAsia="Arial" w:hAnsi="Arial" w:cs="Arial"/>
                <w:color w:val="000000"/>
                <w:sz w:val="18"/>
                <w:szCs w:val="18"/>
              </w:rPr>
              <w:t>1</w:t>
            </w:r>
            <w:r w:rsidR="00402472">
              <w:rPr>
                <w:rFonts w:ascii="Arial" w:eastAsia="Arial" w:hAnsi="Arial" w:cs="Arial"/>
                <w:color w:val="000000"/>
                <w:sz w:val="18"/>
                <w:szCs w:val="18"/>
              </w:rPr>
              <w:t>2</w:t>
            </w:r>
            <w:r w:rsidRPr="002E585D">
              <w:rPr>
                <w:rFonts w:ascii="Arial" w:eastAsia="Arial" w:hAnsi="Arial" w:cs="Arial"/>
                <w:color w:val="000000"/>
                <w:sz w:val="18"/>
                <w:szCs w:val="18"/>
              </w:rPr>
              <w:t xml:space="preserve">. Mapa del número de femicidios de los países que conforman América Latina y el Caribe (izquierda), y mapa de la tasa de femicidios de los países que conforman América Latina y el Caribe (derecha). </w:t>
            </w:r>
            <w:r w:rsidR="0017320A">
              <w:rPr>
                <w:rFonts w:ascii="Arial" w:eastAsia="Arial" w:hAnsi="Arial" w:cs="Arial"/>
                <w:color w:val="000000"/>
                <w:sz w:val="18"/>
                <w:szCs w:val="18"/>
              </w:rPr>
              <w:t xml:space="preserve">Disponible </w:t>
            </w:r>
            <w:hyperlink r:id="rId30" w:history="1">
              <w:r w:rsidR="0017320A" w:rsidRPr="0017320A">
                <w:rPr>
                  <w:rStyle w:val="Hipervnculo"/>
                  <w:rFonts w:ascii="Arial" w:eastAsia="Arial" w:hAnsi="Arial" w:cs="Arial"/>
                  <w:position w:val="0"/>
                  <w:sz w:val="18"/>
                  <w:szCs w:val="18"/>
                </w:rPr>
                <w:t>aquí</w:t>
              </w:r>
            </w:hyperlink>
            <w:r w:rsidR="0017320A">
              <w:rPr>
                <w:rFonts w:ascii="Arial" w:eastAsia="Arial" w:hAnsi="Arial" w:cs="Arial"/>
                <w:color w:val="000000"/>
                <w:sz w:val="18"/>
                <w:szCs w:val="18"/>
              </w:rPr>
              <w:t xml:space="preserve">. </w:t>
            </w:r>
            <w:r w:rsidRPr="002E585D">
              <w:rPr>
                <w:rFonts w:ascii="Arial" w:eastAsia="Arial" w:hAnsi="Arial" w:cs="Arial"/>
                <w:color w:val="000000"/>
                <w:sz w:val="18"/>
                <w:szCs w:val="18"/>
              </w:rPr>
              <w:t>Los datos fueron reto</w:t>
            </w:r>
            <w:r w:rsidRPr="00591F9F">
              <w:rPr>
                <w:rFonts w:ascii="Arial" w:eastAsia="Arial" w:hAnsi="Arial" w:cs="Arial"/>
                <w:color w:val="000000"/>
                <w:sz w:val="18"/>
                <w:szCs w:val="18"/>
              </w:rPr>
              <w:t>mados de CEPAL.</w:t>
            </w:r>
            <w:r w:rsidR="0017320A">
              <w:rPr>
                <w:rFonts w:ascii="Arial" w:eastAsia="Arial" w:hAnsi="Arial" w:cs="Arial"/>
                <w:color w:val="000000"/>
                <w:sz w:val="18"/>
                <w:szCs w:val="18"/>
              </w:rPr>
              <w:t xml:space="preserve"> </w:t>
            </w:r>
          </w:p>
        </w:tc>
      </w:tr>
    </w:tbl>
    <w:p w14:paraId="13CC4DF1" w14:textId="082F6C11" w:rsidR="002E585D" w:rsidRDefault="002E585D">
      <w:pPr>
        <w:pBdr>
          <w:top w:val="nil"/>
          <w:left w:val="nil"/>
          <w:bottom w:val="nil"/>
          <w:right w:val="nil"/>
          <w:between w:val="nil"/>
        </w:pBdr>
        <w:jc w:val="both"/>
        <w:rPr>
          <w:rFonts w:ascii="Arial" w:eastAsia="Arial" w:hAnsi="Arial" w:cs="Arial"/>
          <w:color w:val="000000"/>
          <w:sz w:val="22"/>
          <w:szCs w:val="22"/>
        </w:rPr>
      </w:pPr>
    </w:p>
    <w:p w14:paraId="1E518458" w14:textId="29EE4091" w:rsidR="0003772A" w:rsidRPr="00010A56" w:rsidRDefault="0003772A">
      <w:pPr>
        <w:pBdr>
          <w:top w:val="nil"/>
          <w:left w:val="nil"/>
          <w:bottom w:val="nil"/>
          <w:right w:val="nil"/>
          <w:between w:val="nil"/>
        </w:pBdr>
        <w:jc w:val="both"/>
        <w:rPr>
          <w:rFonts w:ascii="Arial" w:eastAsia="Arial" w:hAnsi="Arial" w:cs="Arial"/>
          <w:b/>
          <w:bCs/>
          <w:color w:val="000000"/>
          <w:sz w:val="22"/>
          <w:szCs w:val="22"/>
        </w:rPr>
      </w:pPr>
      <w:r w:rsidRPr="00010A56">
        <w:rPr>
          <w:rFonts w:ascii="Arial" w:eastAsia="Arial" w:hAnsi="Arial" w:cs="Arial"/>
          <w:b/>
          <w:bCs/>
          <w:color w:val="000000"/>
          <w:sz w:val="22"/>
          <w:szCs w:val="22"/>
        </w:rPr>
        <w:t>Salud</w:t>
      </w:r>
    </w:p>
    <w:p w14:paraId="342FBCAE" w14:textId="2CBC408B" w:rsidR="00010A56" w:rsidRDefault="00010A56">
      <w:pPr>
        <w:pBdr>
          <w:top w:val="nil"/>
          <w:left w:val="nil"/>
          <w:bottom w:val="nil"/>
          <w:right w:val="nil"/>
          <w:between w:val="nil"/>
        </w:pBdr>
        <w:jc w:val="both"/>
        <w:rPr>
          <w:rFonts w:ascii="Arial" w:eastAsia="Arial" w:hAnsi="Arial" w:cs="Arial"/>
          <w:color w:val="000000"/>
          <w:sz w:val="22"/>
          <w:szCs w:val="22"/>
        </w:rPr>
      </w:pPr>
      <w:r w:rsidRPr="00010A56">
        <w:rPr>
          <w:rFonts w:ascii="Arial" w:eastAsia="Arial" w:hAnsi="Arial" w:cs="Arial"/>
          <w:color w:val="000000"/>
          <w:sz w:val="22"/>
          <w:szCs w:val="22"/>
        </w:rPr>
        <w:t>A través de la Encuesta Trimestral de Hogares, cada tres meses se producen indicadores de salud, y resulta de gran importancia poder visualizarlos en relación a las desigualdades por motivos de género en nuestro territorio.</w:t>
      </w:r>
    </w:p>
    <w:p w14:paraId="5C994C98" w14:textId="4198636E" w:rsidR="0003772A" w:rsidRDefault="00010A5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Uno de los indicadores de salud de mayor interés es la cobertura de salud por sexo. </w:t>
      </w:r>
      <w:r w:rsidRPr="00010A56">
        <w:rPr>
          <w:rFonts w:ascii="Arial" w:eastAsia="Arial" w:hAnsi="Arial" w:cs="Arial"/>
          <w:color w:val="000000"/>
          <w:sz w:val="22"/>
          <w:szCs w:val="22"/>
        </w:rPr>
        <w:t>Cuando nos referimos a la población que tiene cobertura de salud, se tiene en cuenta aquellas personas que declaran tener Obra Social (incluyendo PAMI), prepaga a través de Obra Social, Prepaga sólo por contratación voluntaria, o Programas o Planes de salud. Por otra parte, cabe destacar que la población sin cobertura de salud incluye a todas las personas que declaran no poseer ninguna de las opciones mencionadas anteriormente.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03772A" w14:paraId="3A4824EE" w14:textId="77777777" w:rsidTr="0003772A">
        <w:tc>
          <w:tcPr>
            <w:tcW w:w="7926" w:type="dxa"/>
          </w:tcPr>
          <w:p w14:paraId="0D9222A7" w14:textId="65CEC456" w:rsidR="0003772A" w:rsidRDefault="0003772A" w:rsidP="0003772A">
            <w:pPr>
              <w:jc w:val="center"/>
              <w:rPr>
                <w:rFonts w:ascii="Arial" w:eastAsia="Arial" w:hAnsi="Arial" w:cs="Arial"/>
                <w:color w:val="000000"/>
                <w:sz w:val="22"/>
                <w:szCs w:val="22"/>
              </w:rPr>
            </w:pPr>
            <w:r>
              <w:rPr>
                <w:noProof/>
                <w:lang w:val="es-AR"/>
              </w:rPr>
              <w:drawing>
                <wp:inline distT="0" distB="0" distL="0" distR="0" wp14:anchorId="484F0FA7" wp14:editId="3332333D">
                  <wp:extent cx="4979742" cy="20544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99" t="21796" r="7153" b="14919"/>
                          <a:stretch/>
                        </pic:blipFill>
                        <pic:spPr bwMode="auto">
                          <a:xfrm>
                            <a:off x="0" y="0"/>
                            <a:ext cx="4988425" cy="2058013"/>
                          </a:xfrm>
                          <a:prstGeom prst="rect">
                            <a:avLst/>
                          </a:prstGeom>
                          <a:ln>
                            <a:noFill/>
                          </a:ln>
                          <a:extLst>
                            <a:ext uri="{53640926-AAD7-44D8-BBD7-CCE9431645EC}">
                              <a14:shadowObscured xmlns:a14="http://schemas.microsoft.com/office/drawing/2010/main"/>
                            </a:ext>
                          </a:extLst>
                        </pic:spPr>
                      </pic:pic>
                    </a:graphicData>
                  </a:graphic>
                </wp:inline>
              </w:drawing>
            </w:r>
          </w:p>
        </w:tc>
      </w:tr>
      <w:tr w:rsidR="0003772A" w14:paraId="10F5CEBC" w14:textId="77777777" w:rsidTr="0003772A">
        <w:tc>
          <w:tcPr>
            <w:tcW w:w="7926" w:type="dxa"/>
          </w:tcPr>
          <w:p w14:paraId="7CBD9B25" w14:textId="7BE8530D" w:rsidR="0003772A" w:rsidRDefault="0003772A" w:rsidP="0003772A">
            <w:pPr>
              <w:jc w:val="center"/>
              <w:rPr>
                <w:rFonts w:ascii="Arial" w:eastAsia="Arial" w:hAnsi="Arial" w:cs="Arial"/>
                <w:color w:val="000000"/>
                <w:sz w:val="22"/>
                <w:szCs w:val="22"/>
              </w:rPr>
            </w:pPr>
            <w:r w:rsidRPr="002E585D">
              <w:rPr>
                <w:rFonts w:ascii="Arial" w:eastAsia="Arial" w:hAnsi="Arial" w:cs="Arial"/>
                <w:color w:val="000000"/>
                <w:sz w:val="18"/>
                <w:szCs w:val="18"/>
              </w:rPr>
              <w:t xml:space="preserve">Figura </w:t>
            </w:r>
            <w:r w:rsidR="008F5684">
              <w:rPr>
                <w:rFonts w:ascii="Arial" w:eastAsia="Arial" w:hAnsi="Arial" w:cs="Arial"/>
                <w:color w:val="000000"/>
                <w:sz w:val="18"/>
                <w:szCs w:val="18"/>
              </w:rPr>
              <w:t>1</w:t>
            </w:r>
            <w:r w:rsidR="00402472">
              <w:rPr>
                <w:rFonts w:ascii="Arial" w:eastAsia="Arial" w:hAnsi="Arial" w:cs="Arial"/>
                <w:color w:val="000000"/>
                <w:sz w:val="18"/>
                <w:szCs w:val="18"/>
              </w:rPr>
              <w:t>3</w:t>
            </w:r>
            <w:r w:rsidRPr="002E585D">
              <w:rPr>
                <w:rFonts w:ascii="Arial" w:eastAsia="Arial" w:hAnsi="Arial" w:cs="Arial"/>
                <w:color w:val="000000"/>
                <w:sz w:val="18"/>
                <w:szCs w:val="18"/>
              </w:rPr>
              <w:t xml:space="preserve">. </w:t>
            </w:r>
            <w:r w:rsidR="003F7E86">
              <w:rPr>
                <w:rFonts w:ascii="Arial" w:eastAsia="Arial" w:hAnsi="Arial" w:cs="Arial"/>
                <w:color w:val="000000"/>
                <w:sz w:val="18"/>
                <w:szCs w:val="18"/>
              </w:rPr>
              <w:t>D</w:t>
            </w:r>
            <w:r w:rsidR="003F7E86" w:rsidRPr="003F7E86">
              <w:rPr>
                <w:rFonts w:ascii="Arial" w:eastAsia="Arial" w:hAnsi="Arial" w:cs="Arial"/>
                <w:color w:val="000000"/>
                <w:sz w:val="18"/>
                <w:szCs w:val="18"/>
              </w:rPr>
              <w:t>istribu</w:t>
            </w:r>
            <w:r w:rsidR="003F7E86">
              <w:rPr>
                <w:rFonts w:ascii="Arial" w:eastAsia="Arial" w:hAnsi="Arial" w:cs="Arial"/>
                <w:color w:val="000000"/>
                <w:sz w:val="18"/>
                <w:szCs w:val="18"/>
              </w:rPr>
              <w:t>ción de cobertura de salud</w:t>
            </w:r>
            <w:r w:rsidR="003F7E86" w:rsidRPr="003F7E86">
              <w:rPr>
                <w:rFonts w:ascii="Arial" w:eastAsia="Arial" w:hAnsi="Arial" w:cs="Arial"/>
                <w:color w:val="000000"/>
                <w:sz w:val="18"/>
                <w:szCs w:val="18"/>
              </w:rPr>
              <w:t xml:space="preserve"> en los distintos Municercas de la ciudad </w:t>
            </w:r>
            <w:r w:rsidR="003F7E86">
              <w:rPr>
                <w:rFonts w:ascii="Arial" w:eastAsia="Arial" w:hAnsi="Arial" w:cs="Arial"/>
                <w:color w:val="000000"/>
                <w:sz w:val="18"/>
                <w:szCs w:val="18"/>
              </w:rPr>
              <w:t xml:space="preserve">para mujeres (izquierda) y varones (derecha). En la figura derecha se muestra, además, la ventana interactiva que aparece al hacer clic sobre un determinado Municerca. </w:t>
            </w:r>
            <w:r w:rsidR="0017320A">
              <w:rPr>
                <w:rFonts w:ascii="Arial" w:eastAsia="Arial" w:hAnsi="Arial" w:cs="Arial"/>
                <w:color w:val="000000"/>
                <w:sz w:val="18"/>
                <w:szCs w:val="18"/>
              </w:rPr>
              <w:t xml:space="preserve">Disponible </w:t>
            </w:r>
            <w:hyperlink r:id="rId32" w:history="1">
              <w:r w:rsidR="0017320A" w:rsidRPr="0017320A">
                <w:rPr>
                  <w:rStyle w:val="Hipervnculo"/>
                  <w:rFonts w:ascii="Arial" w:eastAsia="Arial" w:hAnsi="Arial" w:cs="Arial"/>
                  <w:position w:val="0"/>
                  <w:sz w:val="18"/>
                  <w:szCs w:val="18"/>
                </w:rPr>
                <w:t>aquí</w:t>
              </w:r>
            </w:hyperlink>
            <w:r w:rsidR="0017320A">
              <w:rPr>
                <w:rFonts w:ascii="Arial" w:eastAsia="Arial" w:hAnsi="Arial" w:cs="Arial"/>
                <w:color w:val="000000"/>
                <w:sz w:val="18"/>
                <w:szCs w:val="18"/>
              </w:rPr>
              <w:t>.</w:t>
            </w:r>
          </w:p>
        </w:tc>
      </w:tr>
    </w:tbl>
    <w:p w14:paraId="11623630" w14:textId="7FC590FF" w:rsidR="0003772A" w:rsidRDefault="0003772A">
      <w:pPr>
        <w:pBdr>
          <w:top w:val="nil"/>
          <w:left w:val="nil"/>
          <w:bottom w:val="nil"/>
          <w:right w:val="nil"/>
          <w:between w:val="nil"/>
        </w:pBdr>
        <w:jc w:val="both"/>
        <w:rPr>
          <w:rFonts w:ascii="Arial" w:eastAsia="Arial" w:hAnsi="Arial" w:cs="Arial"/>
          <w:color w:val="000000"/>
          <w:sz w:val="22"/>
          <w:szCs w:val="22"/>
        </w:rPr>
      </w:pPr>
    </w:p>
    <w:p w14:paraId="3917B7A5" w14:textId="77777777" w:rsidR="003F0CF8" w:rsidRDefault="003F0CF8">
      <w:pPr>
        <w:pBdr>
          <w:top w:val="nil"/>
          <w:left w:val="nil"/>
          <w:bottom w:val="nil"/>
          <w:right w:val="nil"/>
          <w:between w:val="nil"/>
        </w:pBdr>
        <w:jc w:val="center"/>
        <w:rPr>
          <w:rFonts w:ascii="Arial" w:eastAsia="Arial" w:hAnsi="Arial" w:cs="Arial"/>
          <w:color w:val="000000"/>
          <w:sz w:val="22"/>
          <w:szCs w:val="22"/>
        </w:rPr>
      </w:pPr>
    </w:p>
    <w:p w14:paraId="5DED12E6" w14:textId="77777777" w:rsidR="003F0CF8" w:rsidRPr="000E5DC7"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0E5DC7">
        <w:rPr>
          <w:rFonts w:ascii="Arial" w:eastAsia="Arial" w:hAnsi="Arial" w:cs="Arial"/>
          <w:b/>
          <w:color w:val="000000"/>
          <w:sz w:val="22"/>
          <w:szCs w:val="22"/>
        </w:rPr>
        <w:t>CONCLUSIONES</w:t>
      </w:r>
    </w:p>
    <w:p w14:paraId="239800A9" w14:textId="2755AF41" w:rsidR="003F0CF8" w:rsidRDefault="000E5DC7" w:rsidP="000E5DC7">
      <w:pPr>
        <w:pBdr>
          <w:top w:val="nil"/>
          <w:left w:val="nil"/>
          <w:bottom w:val="nil"/>
          <w:right w:val="nil"/>
          <w:between w:val="nil"/>
        </w:pBdr>
        <w:jc w:val="both"/>
        <w:rPr>
          <w:rFonts w:ascii="Arial" w:eastAsia="Arial" w:hAnsi="Arial" w:cs="Arial"/>
          <w:color w:val="000000"/>
          <w:sz w:val="22"/>
          <w:szCs w:val="22"/>
        </w:rPr>
      </w:pPr>
      <w:r w:rsidRPr="000E5DC7">
        <w:rPr>
          <w:rFonts w:ascii="Arial" w:eastAsia="Arial" w:hAnsi="Arial" w:cs="Arial"/>
          <w:color w:val="000000"/>
          <w:sz w:val="22"/>
          <w:szCs w:val="22"/>
        </w:rPr>
        <w:t xml:space="preserve">En el proceso de modernización del estado y optimización de la gestión municipal, el centro estadístico, a través de su programa de encuesta trimestral de hogares aporta valiosa información para la toma de decisiones, para el seguimiento de programas específicos orientados a mejorar la vida de los ciudadanos y por sobre todo para democratizar el acceso a la información de la ciudad. El portal web presenta indicadores de forma interactiva y de fácil comprensión y acceso. Además, en dicho espacio se visibilizan indicadores que dan cuenta del trabajo colaborativo entre diversas áreas del municipio. </w:t>
      </w:r>
      <w:r w:rsidR="00753F8E">
        <w:rPr>
          <w:rFonts w:ascii="Arial" w:eastAsia="Arial" w:hAnsi="Arial" w:cs="Arial"/>
          <w:color w:val="000000"/>
          <w:sz w:val="22"/>
          <w:szCs w:val="22"/>
        </w:rPr>
        <w:t>El Centro Estadístico tiene</w:t>
      </w:r>
      <w:r w:rsidRPr="000E5DC7">
        <w:rPr>
          <w:rFonts w:ascii="Arial" w:eastAsia="Arial" w:hAnsi="Arial" w:cs="Arial"/>
          <w:color w:val="000000"/>
          <w:sz w:val="22"/>
          <w:szCs w:val="22"/>
        </w:rPr>
        <w:t xml:space="preserve"> grandes desafíos por delante, tales como: avanzar en el trabajo conjunto con otras secretarías, validar normas de calidad, la construcción del sistema de indicadores de desarrollo sostenible, optimizar flujos de trabajo para la intervención en arbolado público, entre otras. Todo el trabajo se desarrolla utilizando sistemas de información geográficos que permiten no solo gestionar la información sino también visibilizar heterogeneidades en el territorio.</w:t>
      </w:r>
    </w:p>
    <w:p w14:paraId="542C9E30" w14:textId="77777777" w:rsidR="000E5DC7" w:rsidRDefault="000E5DC7" w:rsidP="000E5DC7">
      <w:pPr>
        <w:pBdr>
          <w:top w:val="nil"/>
          <w:left w:val="nil"/>
          <w:bottom w:val="nil"/>
          <w:right w:val="nil"/>
          <w:between w:val="nil"/>
        </w:pBdr>
        <w:jc w:val="both"/>
        <w:rPr>
          <w:rFonts w:ascii="Arial" w:eastAsia="Arial" w:hAnsi="Arial" w:cs="Arial"/>
          <w:color w:val="000000"/>
          <w:sz w:val="22"/>
          <w:szCs w:val="22"/>
        </w:rPr>
      </w:pPr>
    </w:p>
    <w:p w14:paraId="195E1D47" w14:textId="77777777" w:rsidR="003F0CF8"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14:paraId="0DF420E9" w14:textId="77777777" w:rsidR="00022128" w:rsidRPr="00022128" w:rsidRDefault="00022128" w:rsidP="00022128">
      <w:pPr>
        <w:pBdr>
          <w:top w:val="nil"/>
          <w:left w:val="nil"/>
          <w:bottom w:val="nil"/>
          <w:right w:val="nil"/>
          <w:between w:val="nil"/>
        </w:pBdr>
        <w:jc w:val="both"/>
        <w:rPr>
          <w:rFonts w:ascii="Arial" w:eastAsia="Arial" w:hAnsi="Arial" w:cs="Arial"/>
          <w:color w:val="000000"/>
          <w:sz w:val="22"/>
          <w:szCs w:val="22"/>
        </w:rPr>
      </w:pPr>
      <w:r w:rsidRPr="00022128">
        <w:rPr>
          <w:rFonts w:ascii="Arial" w:eastAsia="Arial" w:hAnsi="Arial" w:cs="Arial"/>
          <w:color w:val="000000"/>
          <w:sz w:val="22"/>
          <w:szCs w:val="22"/>
        </w:rPr>
        <w:t>El Centro Estadístico Local y Regional de la Municipalidad de Villa María agradece especialmente a:</w:t>
      </w:r>
    </w:p>
    <w:p w14:paraId="699F47A2" w14:textId="193A73F6" w:rsidR="00022128" w:rsidRPr="00022128" w:rsidRDefault="00022128" w:rsidP="00022128">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Los ciudadanos: el tiempo y la dedicación otorgada a los encuestadores para la realización del relevamiento llevado a cabo a partir de la Encuesta Trimestral de Hogares, abriéndoles las puertas de sus hogares y suministrándoles la información que hace posible la elaboración de nuestros informes.</w:t>
      </w:r>
    </w:p>
    <w:p w14:paraId="1E8C0C83" w14:textId="6527E4DA" w:rsidR="00022128" w:rsidRPr="00022128" w:rsidRDefault="00022128" w:rsidP="00022128">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La Universidad Nacional de Villa María: que promovieron la vinculación de sus estudiantes, permitiéndoles participar de una experiencia enriquecedora para su desarrollo profesional y personal.</w:t>
      </w:r>
    </w:p>
    <w:p w14:paraId="1132497C" w14:textId="195FAC1C" w:rsidR="00022128" w:rsidRPr="00022128" w:rsidRDefault="00022128" w:rsidP="00470BE5">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Los integrantes de la Gestión Municipal: por su apoyo e interés hacia todas las iniciativas del Centro Estadístico.</w:t>
      </w:r>
    </w:p>
    <w:p w14:paraId="42504295"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1C172F2A" w14:textId="77777777" w:rsidR="003F0CF8" w:rsidRPr="00D11779"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D11779">
        <w:rPr>
          <w:rFonts w:ascii="Arial" w:eastAsia="Arial" w:hAnsi="Arial" w:cs="Arial"/>
          <w:b/>
          <w:color w:val="000000"/>
          <w:sz w:val="22"/>
          <w:szCs w:val="22"/>
        </w:rPr>
        <w:t>REFERENCIAS</w:t>
      </w:r>
    </w:p>
    <w:p w14:paraId="40791A5A" w14:textId="77777777" w:rsidR="003F0CF8" w:rsidRDefault="003F0CF8">
      <w:pPr>
        <w:pBdr>
          <w:top w:val="nil"/>
          <w:left w:val="nil"/>
          <w:bottom w:val="nil"/>
          <w:right w:val="nil"/>
          <w:between w:val="nil"/>
        </w:pBdr>
        <w:ind w:firstLine="227"/>
        <w:jc w:val="both"/>
        <w:rPr>
          <w:rFonts w:ascii="Arial" w:eastAsia="Arial" w:hAnsi="Arial" w:cs="Arial"/>
          <w:color w:val="000000"/>
        </w:rPr>
      </w:pPr>
    </w:p>
    <w:p w14:paraId="684B5F5A" w14:textId="569B50FB" w:rsidR="003F0CF8"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Nacional de Estadísticas y Censos. Argentina, at </w:t>
      </w:r>
      <w:hyperlink r:id="rId33" w:history="1">
        <w:r w:rsidRPr="00EA16BA">
          <w:rPr>
            <w:rStyle w:val="Hipervnculo"/>
            <w:rFonts w:ascii="Arial" w:eastAsia="Arial" w:hAnsi="Arial" w:cs="Arial"/>
            <w:position w:val="0"/>
            <w:sz w:val="22"/>
            <w:szCs w:val="22"/>
          </w:rPr>
          <w:t>https://www.indec.gob.ar/</w:t>
        </w:r>
      </w:hyperlink>
    </w:p>
    <w:p w14:paraId="1F7E9F27" w14:textId="57AC5935"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p>
    <w:p w14:paraId="09E72F62" w14:textId="1A607BC1"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Comisión Económica para América Latina y el Caribe, at </w:t>
      </w:r>
      <w:hyperlink r:id="rId34" w:history="1">
        <w:r w:rsidRPr="00EA16BA">
          <w:rPr>
            <w:rStyle w:val="Hipervnculo"/>
            <w:rFonts w:ascii="Arial" w:eastAsia="Arial" w:hAnsi="Arial" w:cs="Arial"/>
            <w:position w:val="0"/>
            <w:sz w:val="22"/>
            <w:szCs w:val="22"/>
          </w:rPr>
          <w:t>https://www.cepal.org/es</w:t>
        </w:r>
      </w:hyperlink>
      <w:r>
        <w:rPr>
          <w:rFonts w:ascii="Arial" w:eastAsia="Arial" w:hAnsi="Arial" w:cs="Arial"/>
          <w:color w:val="000000"/>
          <w:sz w:val="22"/>
          <w:szCs w:val="22"/>
        </w:rPr>
        <w:t xml:space="preserve"> </w:t>
      </w:r>
    </w:p>
    <w:p w14:paraId="02784B12" w14:textId="5BE4AE9B"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p>
    <w:p w14:paraId="6F0B4B92" w14:textId="6422F2EF"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Sistema de Indicadores de Género de Buenos Aires, at </w:t>
      </w:r>
      <w:hyperlink r:id="rId35" w:history="1">
        <w:r w:rsidRPr="00EA16BA">
          <w:rPr>
            <w:rStyle w:val="Hipervnculo"/>
            <w:rFonts w:ascii="Arial" w:eastAsia="Arial" w:hAnsi="Arial" w:cs="Arial"/>
            <w:position w:val="0"/>
            <w:sz w:val="22"/>
            <w:szCs w:val="22"/>
          </w:rPr>
          <w:t>https://www.estadisticaciudad.gob.ar/eyc/?page_id=74588</w:t>
        </w:r>
      </w:hyperlink>
      <w:r>
        <w:rPr>
          <w:rFonts w:ascii="Arial" w:eastAsia="Arial" w:hAnsi="Arial" w:cs="Arial"/>
          <w:color w:val="000000"/>
          <w:sz w:val="22"/>
          <w:szCs w:val="22"/>
        </w:rPr>
        <w:t xml:space="preserve"> </w:t>
      </w:r>
    </w:p>
    <w:sectPr w:rsidR="00D11779">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A85D1" w14:textId="77777777" w:rsidR="0093796F" w:rsidRDefault="0093796F" w:rsidP="0005627C">
      <w:r>
        <w:separator/>
      </w:r>
    </w:p>
  </w:endnote>
  <w:endnote w:type="continuationSeparator" w:id="0">
    <w:p w14:paraId="5C72ADD1" w14:textId="77777777" w:rsidR="0093796F" w:rsidRDefault="0093796F" w:rsidP="00056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C735E" w14:textId="77777777" w:rsidR="0093796F" w:rsidRDefault="0093796F" w:rsidP="0005627C">
      <w:r>
        <w:separator/>
      </w:r>
    </w:p>
  </w:footnote>
  <w:footnote w:type="continuationSeparator" w:id="0">
    <w:p w14:paraId="65B018FE" w14:textId="77777777" w:rsidR="0093796F" w:rsidRDefault="0093796F" w:rsidP="000562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E4507"/>
    <w:multiLevelType w:val="multilevel"/>
    <w:tmpl w:val="BAB8B51A"/>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3CC33D6B"/>
    <w:multiLevelType w:val="hybridMultilevel"/>
    <w:tmpl w:val="56288E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4FA45E9"/>
    <w:multiLevelType w:val="hybridMultilevel"/>
    <w:tmpl w:val="0CB4A73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27E1A37"/>
    <w:multiLevelType w:val="hybridMultilevel"/>
    <w:tmpl w:val="AD0ADD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F8"/>
    <w:rsid w:val="00010A56"/>
    <w:rsid w:val="00011848"/>
    <w:rsid w:val="00013F7A"/>
    <w:rsid w:val="00022128"/>
    <w:rsid w:val="0003772A"/>
    <w:rsid w:val="0005627C"/>
    <w:rsid w:val="000770FF"/>
    <w:rsid w:val="000824F8"/>
    <w:rsid w:val="000A1385"/>
    <w:rsid w:val="000D1F69"/>
    <w:rsid w:val="000D2B2F"/>
    <w:rsid w:val="000E5DC7"/>
    <w:rsid w:val="00122989"/>
    <w:rsid w:val="00134057"/>
    <w:rsid w:val="001423C1"/>
    <w:rsid w:val="00152B1D"/>
    <w:rsid w:val="00160918"/>
    <w:rsid w:val="00164908"/>
    <w:rsid w:val="0017320A"/>
    <w:rsid w:val="00177EE4"/>
    <w:rsid w:val="001B15EF"/>
    <w:rsid w:val="001E35EB"/>
    <w:rsid w:val="001E4182"/>
    <w:rsid w:val="00231FC3"/>
    <w:rsid w:val="00235754"/>
    <w:rsid w:val="00241D4D"/>
    <w:rsid w:val="0028288A"/>
    <w:rsid w:val="002E4EA5"/>
    <w:rsid w:val="002E585D"/>
    <w:rsid w:val="002F0646"/>
    <w:rsid w:val="00353035"/>
    <w:rsid w:val="003A66D8"/>
    <w:rsid w:val="003F0CF8"/>
    <w:rsid w:val="003F3199"/>
    <w:rsid w:val="003F7E86"/>
    <w:rsid w:val="00401E2A"/>
    <w:rsid w:val="00402472"/>
    <w:rsid w:val="00420D9B"/>
    <w:rsid w:val="00437510"/>
    <w:rsid w:val="0046408D"/>
    <w:rsid w:val="00470BE5"/>
    <w:rsid w:val="00487A20"/>
    <w:rsid w:val="004A0D81"/>
    <w:rsid w:val="004C0C92"/>
    <w:rsid w:val="004C0F92"/>
    <w:rsid w:val="004D7243"/>
    <w:rsid w:val="004E5A5F"/>
    <w:rsid w:val="004F1A94"/>
    <w:rsid w:val="00532D48"/>
    <w:rsid w:val="00563D9B"/>
    <w:rsid w:val="00573E3F"/>
    <w:rsid w:val="00591F9F"/>
    <w:rsid w:val="005C1E65"/>
    <w:rsid w:val="005D602E"/>
    <w:rsid w:val="005E4AC0"/>
    <w:rsid w:val="005F088C"/>
    <w:rsid w:val="005F4FB1"/>
    <w:rsid w:val="00631D1F"/>
    <w:rsid w:val="00683225"/>
    <w:rsid w:val="006B2821"/>
    <w:rsid w:val="006D135F"/>
    <w:rsid w:val="006D21F7"/>
    <w:rsid w:val="006D43B8"/>
    <w:rsid w:val="00715667"/>
    <w:rsid w:val="007159D5"/>
    <w:rsid w:val="00715C5F"/>
    <w:rsid w:val="00742E26"/>
    <w:rsid w:val="00753F8E"/>
    <w:rsid w:val="007C289A"/>
    <w:rsid w:val="007C397D"/>
    <w:rsid w:val="007E37FB"/>
    <w:rsid w:val="007E4C1F"/>
    <w:rsid w:val="008144E2"/>
    <w:rsid w:val="008316BC"/>
    <w:rsid w:val="00835D8E"/>
    <w:rsid w:val="00870F89"/>
    <w:rsid w:val="00871743"/>
    <w:rsid w:val="008A128B"/>
    <w:rsid w:val="008D3855"/>
    <w:rsid w:val="008E227C"/>
    <w:rsid w:val="008F0C6E"/>
    <w:rsid w:val="008F292F"/>
    <w:rsid w:val="008F5684"/>
    <w:rsid w:val="008F56A7"/>
    <w:rsid w:val="008F799B"/>
    <w:rsid w:val="00921123"/>
    <w:rsid w:val="009238B7"/>
    <w:rsid w:val="0093796F"/>
    <w:rsid w:val="00953D11"/>
    <w:rsid w:val="009A42C2"/>
    <w:rsid w:val="009B57A8"/>
    <w:rsid w:val="009F0E74"/>
    <w:rsid w:val="009F5C95"/>
    <w:rsid w:val="00A15C5C"/>
    <w:rsid w:val="00A2653F"/>
    <w:rsid w:val="00A5530F"/>
    <w:rsid w:val="00A620E0"/>
    <w:rsid w:val="00A708FE"/>
    <w:rsid w:val="00A80A46"/>
    <w:rsid w:val="00A87C5F"/>
    <w:rsid w:val="00AD163E"/>
    <w:rsid w:val="00AD7D96"/>
    <w:rsid w:val="00AE2D11"/>
    <w:rsid w:val="00AF6BA8"/>
    <w:rsid w:val="00B12C9E"/>
    <w:rsid w:val="00B23676"/>
    <w:rsid w:val="00B307B1"/>
    <w:rsid w:val="00B3793E"/>
    <w:rsid w:val="00B4037C"/>
    <w:rsid w:val="00B42F9D"/>
    <w:rsid w:val="00B55AE9"/>
    <w:rsid w:val="00B61C98"/>
    <w:rsid w:val="00B800A6"/>
    <w:rsid w:val="00B925B4"/>
    <w:rsid w:val="00BA01BB"/>
    <w:rsid w:val="00BB56CD"/>
    <w:rsid w:val="00BC295C"/>
    <w:rsid w:val="00BE1398"/>
    <w:rsid w:val="00C35044"/>
    <w:rsid w:val="00C357DE"/>
    <w:rsid w:val="00C3757D"/>
    <w:rsid w:val="00C47020"/>
    <w:rsid w:val="00C6680F"/>
    <w:rsid w:val="00C753DB"/>
    <w:rsid w:val="00C757FA"/>
    <w:rsid w:val="00C8273F"/>
    <w:rsid w:val="00CD458A"/>
    <w:rsid w:val="00D11779"/>
    <w:rsid w:val="00D46734"/>
    <w:rsid w:val="00D531F9"/>
    <w:rsid w:val="00D5781B"/>
    <w:rsid w:val="00D84815"/>
    <w:rsid w:val="00D85EED"/>
    <w:rsid w:val="00DB4321"/>
    <w:rsid w:val="00DB4469"/>
    <w:rsid w:val="00DD1C40"/>
    <w:rsid w:val="00DE3671"/>
    <w:rsid w:val="00DE7383"/>
    <w:rsid w:val="00E21173"/>
    <w:rsid w:val="00E46AF2"/>
    <w:rsid w:val="00E6114C"/>
    <w:rsid w:val="00E71948"/>
    <w:rsid w:val="00E7738A"/>
    <w:rsid w:val="00E83999"/>
    <w:rsid w:val="00E96173"/>
    <w:rsid w:val="00E96787"/>
    <w:rsid w:val="00EB1388"/>
    <w:rsid w:val="00F0653C"/>
    <w:rsid w:val="00F07395"/>
    <w:rsid w:val="00F23DF4"/>
    <w:rsid w:val="00F4075F"/>
    <w:rsid w:val="00F50741"/>
    <w:rsid w:val="00F50A8C"/>
    <w:rsid w:val="00F76DEE"/>
    <w:rsid w:val="00FA14D6"/>
    <w:rsid w:val="00FA228F"/>
    <w:rsid w:val="00FD2D6B"/>
    <w:rsid w:val="00FE25BC"/>
    <w:rsid w:val="00FF5A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80EF"/>
  <w15:docId w15:val="{421B052B-4676-450D-8A53-A0C999B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styleId="Tablaconcuadrcula">
    <w:name w:val="Table Grid"/>
    <w:basedOn w:val="Tablanormal"/>
    <w:uiPriority w:val="39"/>
    <w:rsid w:val="0017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B23676"/>
    <w:rPr>
      <w:color w:val="605E5C"/>
      <w:shd w:val="clear" w:color="auto" w:fill="E1DFDD"/>
    </w:rPr>
  </w:style>
  <w:style w:type="paragraph" w:styleId="Encabezado">
    <w:name w:val="header"/>
    <w:basedOn w:val="Normal"/>
    <w:link w:val="EncabezadoCar"/>
    <w:uiPriority w:val="99"/>
    <w:unhideWhenUsed/>
    <w:rsid w:val="0005627C"/>
    <w:pPr>
      <w:tabs>
        <w:tab w:val="center" w:pos="4252"/>
        <w:tab w:val="right" w:pos="8504"/>
      </w:tabs>
    </w:pPr>
  </w:style>
  <w:style w:type="character" w:customStyle="1" w:styleId="EncabezadoCar">
    <w:name w:val="Encabezado Car"/>
    <w:basedOn w:val="Fuentedeprrafopredeter"/>
    <w:link w:val="Encabezado"/>
    <w:uiPriority w:val="99"/>
    <w:rsid w:val="0005627C"/>
  </w:style>
  <w:style w:type="paragraph" w:styleId="Piedepgina">
    <w:name w:val="footer"/>
    <w:basedOn w:val="Normal"/>
    <w:link w:val="PiedepginaCar"/>
    <w:uiPriority w:val="99"/>
    <w:unhideWhenUsed/>
    <w:rsid w:val="0005627C"/>
    <w:pPr>
      <w:tabs>
        <w:tab w:val="center" w:pos="4252"/>
        <w:tab w:val="right" w:pos="8504"/>
      </w:tabs>
    </w:pPr>
  </w:style>
  <w:style w:type="character" w:customStyle="1" w:styleId="PiedepginaCar">
    <w:name w:val="Pie de página Car"/>
    <w:basedOn w:val="Fuentedeprrafopredeter"/>
    <w:link w:val="Piedepgina"/>
    <w:uiPriority w:val="99"/>
    <w:rsid w:val="0005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199999">
      <w:bodyDiv w:val="1"/>
      <w:marLeft w:val="0"/>
      <w:marRight w:val="0"/>
      <w:marTop w:val="0"/>
      <w:marBottom w:val="0"/>
      <w:divBdr>
        <w:top w:val="none" w:sz="0" w:space="0" w:color="auto"/>
        <w:left w:val="none" w:sz="0" w:space="0" w:color="auto"/>
        <w:bottom w:val="none" w:sz="0" w:space="0" w:color="auto"/>
        <w:right w:val="none" w:sz="0" w:space="0" w:color="auto"/>
      </w:divBdr>
    </w:div>
    <w:div w:id="646126539">
      <w:bodyDiv w:val="1"/>
      <w:marLeft w:val="0"/>
      <w:marRight w:val="0"/>
      <w:marTop w:val="0"/>
      <w:marBottom w:val="0"/>
      <w:divBdr>
        <w:top w:val="none" w:sz="0" w:space="0" w:color="auto"/>
        <w:left w:val="none" w:sz="0" w:space="0" w:color="auto"/>
        <w:bottom w:val="none" w:sz="0" w:space="0" w:color="auto"/>
        <w:right w:val="none" w:sz="0" w:space="0" w:color="auto"/>
      </w:divBdr>
    </w:div>
    <w:div w:id="650258789">
      <w:bodyDiv w:val="1"/>
      <w:marLeft w:val="0"/>
      <w:marRight w:val="0"/>
      <w:marTop w:val="0"/>
      <w:marBottom w:val="0"/>
      <w:divBdr>
        <w:top w:val="none" w:sz="0" w:space="0" w:color="auto"/>
        <w:left w:val="none" w:sz="0" w:space="0" w:color="auto"/>
        <w:bottom w:val="none" w:sz="0" w:space="0" w:color="auto"/>
        <w:right w:val="none" w:sz="0" w:space="0" w:color="auto"/>
      </w:divBdr>
    </w:div>
    <w:div w:id="661658780">
      <w:bodyDiv w:val="1"/>
      <w:marLeft w:val="0"/>
      <w:marRight w:val="0"/>
      <w:marTop w:val="0"/>
      <w:marBottom w:val="0"/>
      <w:divBdr>
        <w:top w:val="none" w:sz="0" w:space="0" w:color="auto"/>
        <w:left w:val="none" w:sz="0" w:space="0" w:color="auto"/>
        <w:bottom w:val="none" w:sz="0" w:space="0" w:color="auto"/>
        <w:right w:val="none" w:sz="0" w:space="0" w:color="auto"/>
      </w:divBdr>
    </w:div>
    <w:div w:id="838882674">
      <w:bodyDiv w:val="1"/>
      <w:marLeft w:val="0"/>
      <w:marRight w:val="0"/>
      <w:marTop w:val="0"/>
      <w:marBottom w:val="0"/>
      <w:divBdr>
        <w:top w:val="none" w:sz="0" w:space="0" w:color="auto"/>
        <w:left w:val="none" w:sz="0" w:space="0" w:color="auto"/>
        <w:bottom w:val="none" w:sz="0" w:space="0" w:color="auto"/>
        <w:right w:val="none" w:sz="0" w:space="0" w:color="auto"/>
      </w:divBdr>
    </w:div>
    <w:div w:id="914513964">
      <w:bodyDiv w:val="1"/>
      <w:marLeft w:val="0"/>
      <w:marRight w:val="0"/>
      <w:marTop w:val="0"/>
      <w:marBottom w:val="0"/>
      <w:divBdr>
        <w:top w:val="none" w:sz="0" w:space="0" w:color="auto"/>
        <w:left w:val="none" w:sz="0" w:space="0" w:color="auto"/>
        <w:bottom w:val="none" w:sz="0" w:space="0" w:color="auto"/>
        <w:right w:val="none" w:sz="0" w:space="0" w:color="auto"/>
      </w:divBdr>
    </w:div>
    <w:div w:id="1037580823">
      <w:bodyDiv w:val="1"/>
      <w:marLeft w:val="0"/>
      <w:marRight w:val="0"/>
      <w:marTop w:val="0"/>
      <w:marBottom w:val="0"/>
      <w:divBdr>
        <w:top w:val="none" w:sz="0" w:space="0" w:color="auto"/>
        <w:left w:val="none" w:sz="0" w:space="0" w:color="auto"/>
        <w:bottom w:val="none" w:sz="0" w:space="0" w:color="auto"/>
        <w:right w:val="none" w:sz="0" w:space="0" w:color="auto"/>
      </w:divBdr>
    </w:div>
    <w:div w:id="1282761362">
      <w:bodyDiv w:val="1"/>
      <w:marLeft w:val="0"/>
      <w:marRight w:val="0"/>
      <w:marTop w:val="0"/>
      <w:marBottom w:val="0"/>
      <w:divBdr>
        <w:top w:val="none" w:sz="0" w:space="0" w:color="auto"/>
        <w:left w:val="none" w:sz="0" w:space="0" w:color="auto"/>
        <w:bottom w:val="none" w:sz="0" w:space="0" w:color="auto"/>
        <w:right w:val="none" w:sz="0" w:space="0" w:color="auto"/>
      </w:divBdr>
      <w:divsChild>
        <w:div w:id="50735594">
          <w:marLeft w:val="-225"/>
          <w:marRight w:val="-225"/>
          <w:marTop w:val="225"/>
          <w:marBottom w:val="225"/>
          <w:divBdr>
            <w:top w:val="none" w:sz="0" w:space="0" w:color="auto"/>
            <w:left w:val="none" w:sz="0" w:space="0" w:color="auto"/>
            <w:bottom w:val="none" w:sz="0" w:space="0" w:color="auto"/>
            <w:right w:val="none" w:sz="0" w:space="0" w:color="auto"/>
          </w:divBdr>
          <w:divsChild>
            <w:div w:id="686365644">
              <w:marLeft w:val="0"/>
              <w:marRight w:val="0"/>
              <w:marTop w:val="0"/>
              <w:marBottom w:val="0"/>
              <w:divBdr>
                <w:top w:val="none" w:sz="0" w:space="0" w:color="auto"/>
                <w:left w:val="none" w:sz="0" w:space="0" w:color="auto"/>
                <w:bottom w:val="none" w:sz="0" w:space="0" w:color="auto"/>
                <w:right w:val="none" w:sz="0" w:space="0" w:color="auto"/>
              </w:divBdr>
              <w:divsChild>
                <w:div w:id="12132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8513">
      <w:bodyDiv w:val="1"/>
      <w:marLeft w:val="0"/>
      <w:marRight w:val="0"/>
      <w:marTop w:val="0"/>
      <w:marBottom w:val="0"/>
      <w:divBdr>
        <w:top w:val="none" w:sz="0" w:space="0" w:color="auto"/>
        <w:left w:val="none" w:sz="0" w:space="0" w:color="auto"/>
        <w:bottom w:val="none" w:sz="0" w:space="0" w:color="auto"/>
        <w:right w:val="none" w:sz="0" w:space="0" w:color="auto"/>
      </w:divBdr>
    </w:div>
    <w:div w:id="1411074307">
      <w:bodyDiv w:val="1"/>
      <w:marLeft w:val="0"/>
      <w:marRight w:val="0"/>
      <w:marTop w:val="0"/>
      <w:marBottom w:val="0"/>
      <w:divBdr>
        <w:top w:val="none" w:sz="0" w:space="0" w:color="auto"/>
        <w:left w:val="none" w:sz="0" w:space="0" w:color="auto"/>
        <w:bottom w:val="none" w:sz="0" w:space="0" w:color="auto"/>
        <w:right w:val="none" w:sz="0" w:space="0" w:color="auto"/>
      </w:divBdr>
      <w:divsChild>
        <w:div w:id="1631857965">
          <w:marLeft w:val="-225"/>
          <w:marRight w:val="-225"/>
          <w:marTop w:val="225"/>
          <w:marBottom w:val="225"/>
          <w:divBdr>
            <w:top w:val="none" w:sz="0" w:space="0" w:color="auto"/>
            <w:left w:val="none" w:sz="0" w:space="0" w:color="auto"/>
            <w:bottom w:val="none" w:sz="0" w:space="0" w:color="auto"/>
            <w:right w:val="none" w:sz="0" w:space="0" w:color="auto"/>
          </w:divBdr>
          <w:divsChild>
            <w:div w:id="114519270">
              <w:marLeft w:val="0"/>
              <w:marRight w:val="0"/>
              <w:marTop w:val="0"/>
              <w:marBottom w:val="0"/>
              <w:divBdr>
                <w:top w:val="none" w:sz="0" w:space="0" w:color="auto"/>
                <w:left w:val="none" w:sz="0" w:space="0" w:color="auto"/>
                <w:bottom w:val="none" w:sz="0" w:space="0" w:color="auto"/>
                <w:right w:val="none" w:sz="0" w:space="0" w:color="auto"/>
              </w:divBdr>
              <w:divsChild>
                <w:div w:id="16927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7342">
          <w:marLeft w:val="-225"/>
          <w:marRight w:val="-225"/>
          <w:marTop w:val="225"/>
          <w:marBottom w:val="225"/>
          <w:divBdr>
            <w:top w:val="none" w:sz="0" w:space="0" w:color="auto"/>
            <w:left w:val="none" w:sz="0" w:space="0" w:color="auto"/>
            <w:bottom w:val="none" w:sz="0" w:space="0" w:color="auto"/>
            <w:right w:val="none" w:sz="0" w:space="0" w:color="auto"/>
          </w:divBdr>
          <w:divsChild>
            <w:div w:id="1338340779">
              <w:marLeft w:val="0"/>
              <w:marRight w:val="0"/>
              <w:marTop w:val="0"/>
              <w:marBottom w:val="0"/>
              <w:divBdr>
                <w:top w:val="none" w:sz="0" w:space="0" w:color="auto"/>
                <w:left w:val="none" w:sz="0" w:space="0" w:color="auto"/>
                <w:bottom w:val="none" w:sz="0" w:space="0" w:color="auto"/>
                <w:right w:val="none" w:sz="0" w:space="0" w:color="auto"/>
              </w:divBdr>
              <w:divsChild>
                <w:div w:id="10189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1281">
      <w:bodyDiv w:val="1"/>
      <w:marLeft w:val="0"/>
      <w:marRight w:val="0"/>
      <w:marTop w:val="0"/>
      <w:marBottom w:val="0"/>
      <w:divBdr>
        <w:top w:val="none" w:sz="0" w:space="0" w:color="auto"/>
        <w:left w:val="none" w:sz="0" w:space="0" w:color="auto"/>
        <w:bottom w:val="none" w:sz="0" w:space="0" w:color="auto"/>
        <w:right w:val="none" w:sz="0" w:space="0" w:color="auto"/>
      </w:divBdr>
    </w:div>
    <w:div w:id="2048724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illamaria.maps.arcgis.com/apps/dashboards/ea4f42b275c9434ca6b088304968e876" TargetMode="External"/><Relationship Id="rId18" Type="http://schemas.openxmlformats.org/officeDocument/2006/relationships/image" Target="media/image7.png"/><Relationship Id="rId26" Type="http://schemas.openxmlformats.org/officeDocument/2006/relationships/hyperlink" Target="https://portal-villamaria.opendata.arcgis.com/pages/genero" TargetMode="External"/><Relationship Id="rId21" Type="http://schemas.openxmlformats.org/officeDocument/2006/relationships/hyperlink" Target="https://experience.arcgis.com/experience/9d63ae6826f143c98bb4603e890d0f90/page/Activities/?views=PobrezaPersonas" TargetMode="External"/><Relationship Id="rId34" Type="http://schemas.openxmlformats.org/officeDocument/2006/relationships/hyperlink" Target="https://www.cepal.org/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xperience.arcgis.com/experience/9d63ae6826f143c98bb4603e890d0f90/page/Activities/" TargetMode="External"/><Relationship Id="rId25" Type="http://schemas.openxmlformats.org/officeDocument/2006/relationships/hyperlink" Target="https://portal-villamaria.opendata.arcgis.com/pages/genero" TargetMode="External"/><Relationship Id="rId33" Type="http://schemas.openxmlformats.org/officeDocument/2006/relationships/hyperlink" Target="https://www.indec.gob.a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genero-villamaria.hub.arcgis.com/pages/gnero-salu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villamaria.opendata.arcgis.com/pages/mercado-laboral" TargetMode="External"/><Relationship Id="rId23" Type="http://schemas.openxmlformats.org/officeDocument/2006/relationships/hyperlink" Target="https://portal-villamaria.opendata.arcgis.com/pages/seguridad-y-victimizacin" TargetMode="External"/><Relationship Id="rId28" Type="http://schemas.openxmlformats.org/officeDocument/2006/relationships/hyperlink" Target="https://portal-villamaria.opendata.arcgis.com/pages/genero"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ortal-villamaria.opendata.arcgis.com/pages/condiciones-de-vida"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portal-villamaria.opendata.arcgis.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genero-villamaria.hub.arcgis.com/pages/gnero-indicadores-estandarizados" TargetMode="External"/><Relationship Id="rId35" Type="http://schemas.openxmlformats.org/officeDocument/2006/relationships/hyperlink" Target="https://www.estadisticaciudad.gob.ar/eyc/?page_id=7458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4042</Words>
  <Characters>22719</Characters>
  <Application>Microsoft Office Word</Application>
  <DocSecurity>0</DocSecurity>
  <Lines>597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2022-04-30T14:55:00Z</dcterms:created>
  <dcterms:modified xsi:type="dcterms:W3CDTF">2022-04-30T14:55:00Z</dcterms:modified>
</cp:coreProperties>
</file>