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01B" w:rsidRDefault="00543075" w:rsidP="00543075">
      <w:pPr>
        <w:keepNext/>
        <w:pBdr>
          <w:top w:val="nil"/>
          <w:left w:val="nil"/>
          <w:bottom w:val="nil"/>
          <w:right w:val="nil"/>
          <w:between w:val="nil"/>
        </w:pBdr>
        <w:jc w:val="center"/>
        <w:rPr>
          <w:rFonts w:ascii="Arial" w:eastAsia="Arial" w:hAnsi="Arial" w:cs="Arial"/>
          <w:b/>
          <w:sz w:val="28"/>
          <w:szCs w:val="28"/>
        </w:rPr>
      </w:pPr>
      <w:bookmarkStart w:id="0" w:name="_GoBack"/>
      <w:r w:rsidRPr="00543075">
        <w:rPr>
          <w:rFonts w:ascii="Arial" w:eastAsia="Arial" w:hAnsi="Arial" w:cs="Arial"/>
          <w:b/>
          <w:sz w:val="28"/>
          <w:szCs w:val="28"/>
        </w:rPr>
        <w:t>Áreas quemas en la provincia de La Pampa en temporada estival (periodo 2011-2023): Aportes para la caracterización del régimen de incendios de la provincia</w:t>
      </w:r>
    </w:p>
    <w:bookmarkEnd w:id="0"/>
    <w:p w:rsidR="00543075" w:rsidRDefault="00543075">
      <w:pPr>
        <w:pBdr>
          <w:top w:val="nil"/>
          <w:left w:val="nil"/>
          <w:bottom w:val="nil"/>
          <w:right w:val="nil"/>
          <w:between w:val="nil"/>
        </w:pBdr>
        <w:jc w:val="center"/>
        <w:rPr>
          <w:rFonts w:ascii="Arial" w:eastAsia="Arial" w:hAnsi="Arial" w:cs="Arial"/>
          <w:sz w:val="22"/>
          <w:szCs w:val="22"/>
        </w:rPr>
      </w:pPr>
    </w:p>
    <w:p w:rsidR="000D001B" w:rsidRDefault="00BB5CA4">
      <w:pPr>
        <w:pBdr>
          <w:top w:val="nil"/>
          <w:left w:val="nil"/>
          <w:bottom w:val="nil"/>
          <w:right w:val="nil"/>
          <w:between w:val="nil"/>
        </w:pBdr>
        <w:jc w:val="center"/>
        <w:rPr>
          <w:rFonts w:ascii="Arial" w:eastAsia="Arial" w:hAnsi="Arial" w:cs="Arial"/>
          <w:color w:val="000000"/>
          <w:sz w:val="22"/>
          <w:szCs w:val="22"/>
          <w:vertAlign w:val="superscript"/>
        </w:rPr>
      </w:pPr>
      <w:r>
        <w:rPr>
          <w:rFonts w:ascii="Arial" w:eastAsia="Arial" w:hAnsi="Arial" w:cs="Arial"/>
          <w:sz w:val="22"/>
          <w:szCs w:val="22"/>
        </w:rPr>
        <w:t>Sebastián A. Pereyra Fernandez</w:t>
      </w:r>
      <w:r w:rsidR="00CA4E37">
        <w:rPr>
          <w:rFonts w:ascii="Arial" w:eastAsia="Arial" w:hAnsi="Arial" w:cs="Arial"/>
          <w:color w:val="000000"/>
          <w:sz w:val="22"/>
          <w:szCs w:val="22"/>
          <w:vertAlign w:val="superscript"/>
        </w:rPr>
        <w:t>1</w:t>
      </w:r>
    </w:p>
    <w:p w:rsidR="000D001B" w:rsidRDefault="000D001B">
      <w:pPr>
        <w:pBdr>
          <w:top w:val="nil"/>
          <w:left w:val="nil"/>
          <w:bottom w:val="nil"/>
          <w:right w:val="nil"/>
          <w:between w:val="nil"/>
        </w:pBdr>
        <w:jc w:val="center"/>
        <w:rPr>
          <w:rFonts w:ascii="Arial" w:eastAsia="Arial" w:hAnsi="Arial" w:cs="Arial"/>
          <w:color w:val="000000"/>
          <w:sz w:val="16"/>
          <w:szCs w:val="16"/>
        </w:rPr>
      </w:pPr>
    </w:p>
    <w:p w:rsidR="000D001B" w:rsidRDefault="00CA4E37">
      <w:pPr>
        <w:pBdr>
          <w:top w:val="nil"/>
          <w:left w:val="nil"/>
          <w:bottom w:val="nil"/>
          <w:right w:val="nil"/>
          <w:between w:val="nil"/>
        </w:pBdr>
        <w:jc w:val="center"/>
        <w:rPr>
          <w:rFonts w:ascii="Arial" w:eastAsia="Arial" w:hAnsi="Arial" w:cs="Arial"/>
          <w:sz w:val="22"/>
          <w:szCs w:val="22"/>
        </w:rPr>
      </w:pP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r w:rsidR="00BB5CA4" w:rsidRPr="00BB5CA4">
        <w:rPr>
          <w:rFonts w:ascii="Arial" w:eastAsia="Arial" w:hAnsi="Arial" w:cs="Arial"/>
          <w:sz w:val="22"/>
          <w:szCs w:val="22"/>
        </w:rPr>
        <w:t xml:space="preserve">Dirección </w:t>
      </w:r>
      <w:r w:rsidR="00BB5CA4">
        <w:rPr>
          <w:rFonts w:ascii="Arial" w:eastAsia="Arial" w:hAnsi="Arial" w:cs="Arial"/>
          <w:sz w:val="22"/>
          <w:szCs w:val="22"/>
        </w:rPr>
        <w:t xml:space="preserve">General </w:t>
      </w:r>
      <w:r w:rsidR="00BB5CA4" w:rsidRPr="00BB5CA4">
        <w:rPr>
          <w:rFonts w:ascii="Arial" w:eastAsia="Arial" w:hAnsi="Arial" w:cs="Arial"/>
          <w:sz w:val="22"/>
          <w:szCs w:val="22"/>
        </w:rPr>
        <w:t xml:space="preserve">de Recursos Naturales, Gobierno de la provincia de La Pampa, Sarmiento </w:t>
      </w:r>
      <w:r w:rsidR="00BB5CA4">
        <w:rPr>
          <w:rFonts w:ascii="Arial" w:eastAsia="Arial" w:hAnsi="Arial" w:cs="Arial"/>
          <w:sz w:val="22"/>
          <w:szCs w:val="22"/>
        </w:rPr>
        <w:t xml:space="preserve">Nº </w:t>
      </w:r>
      <w:r w:rsidR="00BB5CA4" w:rsidRPr="00BB5CA4">
        <w:rPr>
          <w:rFonts w:ascii="Arial" w:eastAsia="Arial" w:hAnsi="Arial" w:cs="Arial"/>
          <w:sz w:val="22"/>
          <w:szCs w:val="22"/>
        </w:rPr>
        <w:t>161, Santa Rosa, 6300, Argentina</w:t>
      </w:r>
      <w:r>
        <w:rPr>
          <w:rFonts w:ascii="Arial" w:eastAsia="Arial" w:hAnsi="Arial" w:cs="Arial"/>
          <w:sz w:val="22"/>
          <w:szCs w:val="22"/>
        </w:rPr>
        <w:t>.</w:t>
      </w:r>
      <w:r w:rsidR="00BB5CA4">
        <w:rPr>
          <w:rFonts w:ascii="Arial" w:eastAsia="Arial" w:hAnsi="Arial" w:cs="Arial"/>
          <w:sz w:val="22"/>
          <w:szCs w:val="22"/>
        </w:rPr>
        <w:t xml:space="preserve"> </w:t>
      </w:r>
      <w:hyperlink r:id="rId9" w:history="1">
        <w:r w:rsidR="00BB5CA4" w:rsidRPr="00D958D6">
          <w:rPr>
            <w:rStyle w:val="Hipervnculo"/>
            <w:rFonts w:ascii="Arial" w:eastAsia="Arial" w:hAnsi="Arial" w:cs="Arial"/>
            <w:position w:val="0"/>
            <w:sz w:val="22"/>
            <w:szCs w:val="22"/>
          </w:rPr>
          <w:t>sebastianpereyraf@gmail.com</w:t>
        </w:r>
      </w:hyperlink>
      <w:r w:rsidR="00BB5CA4">
        <w:rPr>
          <w:rFonts w:ascii="Arial" w:eastAsia="Arial" w:hAnsi="Arial" w:cs="Arial"/>
          <w:sz w:val="22"/>
          <w:szCs w:val="22"/>
        </w:rPr>
        <w:t xml:space="preserve"> </w:t>
      </w:r>
    </w:p>
    <w:p w:rsidR="000D001B" w:rsidRDefault="000D001B">
      <w:pPr>
        <w:pBdr>
          <w:top w:val="nil"/>
          <w:left w:val="nil"/>
          <w:bottom w:val="nil"/>
          <w:right w:val="nil"/>
          <w:between w:val="nil"/>
        </w:pBdr>
        <w:jc w:val="both"/>
        <w:rPr>
          <w:rFonts w:ascii="Arial" w:eastAsia="Arial" w:hAnsi="Arial" w:cs="Arial"/>
          <w:color w:val="000000"/>
          <w:sz w:val="24"/>
          <w:szCs w:val="24"/>
        </w:rPr>
      </w:pPr>
    </w:p>
    <w:p w:rsidR="000D001B" w:rsidRDefault="00CA4E37" w:rsidP="00596576">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b/>
          <w:color w:val="000000"/>
          <w:sz w:val="22"/>
          <w:szCs w:val="22"/>
        </w:rPr>
        <w:t>Resumen:</w:t>
      </w:r>
      <w:r>
        <w:rPr>
          <w:rFonts w:ascii="Arial" w:eastAsia="Arial" w:hAnsi="Arial" w:cs="Arial"/>
          <w:sz w:val="22"/>
          <w:szCs w:val="22"/>
        </w:rPr>
        <w:t xml:space="preserve"> </w:t>
      </w:r>
      <w:r w:rsidR="00596576" w:rsidRPr="00596576">
        <w:rPr>
          <w:rFonts w:ascii="Arial" w:eastAsia="Arial" w:hAnsi="Arial" w:cs="Arial"/>
          <w:sz w:val="22"/>
          <w:szCs w:val="22"/>
        </w:rPr>
        <w:t>Los incendios constituyen una problemática importante en la provincia de La Pampa y ha sido identificado como una de las principales causas de perdida y degradación de los bosques del espinal.  Como parte de las actividades de gestión de la Dirección General de Recursos Naturales se han mapeado las áreas quemadas en la temporada estival durante los últimos 12 años. El objetivo del presente trabajo es caracterizar la ocurrencia de incendios estivales en La Pampa y ponerlo a disposición del público y otras agencias gubernamentales, así como listar posibles usos de la información.</w:t>
      </w:r>
    </w:p>
    <w:p w:rsidR="000D001B" w:rsidRDefault="00CA4E37">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sz w:val="22"/>
          <w:szCs w:val="22"/>
        </w:rPr>
        <w:t xml:space="preserve"> </w:t>
      </w:r>
    </w:p>
    <w:p w:rsidR="000D001B" w:rsidRDefault="000D001B">
      <w:pPr>
        <w:pBdr>
          <w:top w:val="nil"/>
          <w:left w:val="nil"/>
          <w:bottom w:val="nil"/>
          <w:right w:val="nil"/>
          <w:between w:val="nil"/>
        </w:pBdr>
        <w:ind w:left="709" w:right="709"/>
        <w:jc w:val="both"/>
        <w:rPr>
          <w:rFonts w:ascii="Arial" w:eastAsia="Arial" w:hAnsi="Arial" w:cs="Arial"/>
          <w:color w:val="000000"/>
          <w:sz w:val="22"/>
          <w:szCs w:val="22"/>
        </w:rPr>
      </w:pPr>
    </w:p>
    <w:p w:rsidR="000D001B" w:rsidRDefault="00CA4E37">
      <w:pPr>
        <w:pBdr>
          <w:top w:val="nil"/>
          <w:left w:val="nil"/>
          <w:bottom w:val="nil"/>
          <w:right w:val="nil"/>
          <w:between w:val="nil"/>
        </w:pBdr>
        <w:ind w:left="709" w:right="709"/>
        <w:jc w:val="both"/>
        <w:rPr>
          <w:rFonts w:ascii="Arial" w:eastAsia="Arial" w:hAnsi="Arial" w:cs="Arial"/>
          <w:color w:val="000000"/>
          <w:sz w:val="22"/>
          <w:szCs w:val="22"/>
        </w:rPr>
      </w:pPr>
      <w:r>
        <w:rPr>
          <w:rFonts w:ascii="Arial" w:eastAsia="Arial" w:hAnsi="Arial" w:cs="Arial"/>
          <w:b/>
          <w:color w:val="000000"/>
          <w:sz w:val="22"/>
          <w:szCs w:val="22"/>
        </w:rPr>
        <w:t>Palabras Clave:</w:t>
      </w:r>
      <w:r>
        <w:rPr>
          <w:rFonts w:ascii="Arial" w:eastAsia="Arial" w:hAnsi="Arial" w:cs="Arial"/>
          <w:color w:val="000000"/>
          <w:sz w:val="22"/>
          <w:szCs w:val="22"/>
        </w:rPr>
        <w:t xml:space="preserve"> </w:t>
      </w:r>
      <w:r w:rsidR="00596576">
        <w:rPr>
          <w:rFonts w:ascii="Arial" w:eastAsia="Arial" w:hAnsi="Arial" w:cs="Arial"/>
          <w:sz w:val="22"/>
          <w:szCs w:val="22"/>
        </w:rPr>
        <w:t>Incendios</w:t>
      </w:r>
      <w:r>
        <w:rPr>
          <w:rFonts w:ascii="Arial" w:eastAsia="Arial" w:hAnsi="Arial" w:cs="Arial"/>
          <w:color w:val="000000"/>
          <w:sz w:val="22"/>
          <w:szCs w:val="22"/>
        </w:rPr>
        <w:t xml:space="preserve">, </w:t>
      </w:r>
      <w:r w:rsidR="00596576">
        <w:rPr>
          <w:rFonts w:ascii="Arial" w:eastAsia="Arial" w:hAnsi="Arial" w:cs="Arial"/>
          <w:sz w:val="22"/>
          <w:szCs w:val="22"/>
        </w:rPr>
        <w:t>Bosques Nativos</w:t>
      </w:r>
      <w:r>
        <w:rPr>
          <w:rFonts w:ascii="Arial" w:eastAsia="Arial" w:hAnsi="Arial" w:cs="Arial"/>
          <w:color w:val="000000"/>
          <w:sz w:val="22"/>
          <w:szCs w:val="22"/>
        </w:rPr>
        <w:t xml:space="preserve">, </w:t>
      </w:r>
      <w:r w:rsidR="00596576">
        <w:rPr>
          <w:rFonts w:ascii="Arial" w:eastAsia="Arial" w:hAnsi="Arial" w:cs="Arial"/>
          <w:sz w:val="22"/>
          <w:szCs w:val="22"/>
        </w:rPr>
        <w:t>Gestión de Incendios.</w:t>
      </w:r>
      <w:r w:rsidR="00496D10">
        <w:rPr>
          <w:rFonts w:ascii="Arial" w:eastAsia="Arial" w:hAnsi="Arial" w:cs="Arial"/>
          <w:sz w:val="22"/>
          <w:szCs w:val="22"/>
        </w:rPr>
        <w:tab/>
      </w:r>
    </w:p>
    <w:p w:rsidR="00596576" w:rsidRDefault="00596576">
      <w:pPr>
        <w:pBdr>
          <w:top w:val="nil"/>
          <w:left w:val="nil"/>
          <w:bottom w:val="nil"/>
          <w:right w:val="nil"/>
          <w:between w:val="nil"/>
        </w:pBdr>
        <w:tabs>
          <w:tab w:val="left" w:pos="550"/>
        </w:tabs>
        <w:spacing w:after="120"/>
        <w:jc w:val="both"/>
        <w:rPr>
          <w:rFonts w:ascii="Arial" w:eastAsia="Arial" w:hAnsi="Arial" w:cs="Arial"/>
          <w:b/>
          <w:color w:val="000000"/>
          <w:sz w:val="22"/>
          <w:szCs w:val="22"/>
        </w:rPr>
      </w:pPr>
    </w:p>
    <w:p w:rsidR="000D001B" w:rsidRDefault="00CA4E37">
      <w:pPr>
        <w:pBdr>
          <w:top w:val="nil"/>
          <w:left w:val="nil"/>
          <w:bottom w:val="nil"/>
          <w:right w:val="nil"/>
          <w:between w:val="nil"/>
        </w:pBdr>
        <w:tabs>
          <w:tab w:val="left" w:pos="550"/>
        </w:tabs>
        <w:spacing w:after="120"/>
        <w:jc w:val="both"/>
        <w:rPr>
          <w:rFonts w:ascii="Arial" w:eastAsia="Arial" w:hAnsi="Arial" w:cs="Arial"/>
          <w:color w:val="000000"/>
          <w:sz w:val="22"/>
          <w:szCs w:val="22"/>
        </w:rPr>
      </w:pPr>
      <w:r>
        <w:rPr>
          <w:rFonts w:ascii="Arial" w:eastAsia="Arial" w:hAnsi="Arial" w:cs="Arial"/>
          <w:b/>
          <w:color w:val="000000"/>
          <w:sz w:val="22"/>
          <w:szCs w:val="22"/>
        </w:rPr>
        <w:t>1. INTRODUCCIÓN</w:t>
      </w:r>
    </w:p>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Los incendios son fenómenos naturales que datan de tiempos geológicos constituyendo procesos ecológicos complejos con escalas espaciales y temporales muy disimiles entre los distintos ecosistemas, capaces de modelar la composición, estructura y funcionamiento de la vegetación (</w:t>
      </w:r>
      <w:r w:rsidRPr="00A831C5">
        <w:rPr>
          <w:rFonts w:ascii="Arial" w:eastAsia="Arial" w:hAnsi="Arial" w:cs="Arial"/>
          <w:sz w:val="22"/>
          <w:szCs w:val="22"/>
        </w:rPr>
        <w:t>Bowman et al., 2009</w:t>
      </w:r>
      <w:r w:rsidRPr="00A831C5">
        <w:rPr>
          <w:rFonts w:ascii="Arial" w:eastAsia="Arial" w:hAnsi="Arial" w:cs="Arial"/>
          <w:sz w:val="22"/>
          <w:szCs w:val="22"/>
          <w:lang w:val="es-AR"/>
        </w:rPr>
        <w:t>), además de ser capaces de afectar los ciclos de nutrientes, así como el clima regional y global.</w:t>
      </w:r>
    </w:p>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Las características típicas de los incendios varían de una región a otra y son producto de las condiciones de la vegetación, el clima y las fuentes de ignición dadas y pueden ser caracterizadas a través de lo que se conoce como regímenes de incendios, entre cuyos parámetros descriptivos se encuentran la estacionalidad, intensidad, severidad, tamaños, frecuencia, distribución espacial, entre otros (</w:t>
      </w:r>
      <w:r w:rsidRPr="00A831C5">
        <w:rPr>
          <w:rFonts w:ascii="Arial" w:eastAsia="Arial" w:hAnsi="Arial" w:cs="Arial"/>
          <w:sz w:val="22"/>
          <w:szCs w:val="22"/>
        </w:rPr>
        <w:t>Falk et al., 2007</w:t>
      </w:r>
      <w:r w:rsidRPr="00A831C5">
        <w:rPr>
          <w:rFonts w:ascii="Arial" w:eastAsia="Arial" w:hAnsi="Arial" w:cs="Arial"/>
          <w:sz w:val="22"/>
          <w:szCs w:val="22"/>
          <w:lang w:val="es-AR"/>
        </w:rPr>
        <w:t>).</w:t>
      </w:r>
      <w:r w:rsidRPr="00A831C5">
        <w:rPr>
          <w:rFonts w:ascii="Arial" w:eastAsia="Arial" w:hAnsi="Arial" w:cs="Arial"/>
          <w:sz w:val="22"/>
          <w:szCs w:val="22"/>
          <w:lang w:val="es-AR"/>
        </w:rPr>
        <w:tab/>
      </w:r>
    </w:p>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 xml:space="preserve">El mapeo de áreas incendiadas no solo es importante para las tareas de gestión durante los momentos que ocurren los incendios, sino que constituye información valiosa para definir prioridades de acción, conservación y prevención a posteriori </w:t>
      </w:r>
      <w:r w:rsidRPr="00A831C5">
        <w:rPr>
          <w:rFonts w:ascii="Arial" w:eastAsia="Arial" w:hAnsi="Arial" w:cs="Arial"/>
          <w:sz w:val="22"/>
          <w:szCs w:val="22"/>
          <w:lang w:val="es-AR"/>
        </w:rPr>
        <w:lastRenderedPageBreak/>
        <w:t>de su ocurrencia. Asimismo, su elaboración en forma periódica aporta elementos para caracterizar el régimen de incendios de una región, siendo esta información valiosa para poder intervenir de una forma más eficaz a los fines de mitigar su ocurrencia y sus consecuencias negativas.</w:t>
      </w:r>
    </w:p>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Además de los daños en términos materiales y de vidas humanas, los incendios forestales son una de las principales causas de perdida y degradación de los bosques en el espinal (</w:t>
      </w:r>
      <w:r w:rsidRPr="00A831C5">
        <w:rPr>
          <w:rFonts w:ascii="Arial" w:eastAsia="Arial" w:hAnsi="Arial" w:cs="Arial"/>
          <w:sz w:val="22"/>
          <w:szCs w:val="22"/>
        </w:rPr>
        <w:t>Méndez, 2007)</w:t>
      </w:r>
      <w:r w:rsidRPr="00A831C5">
        <w:rPr>
          <w:rFonts w:ascii="Arial" w:eastAsia="Arial" w:hAnsi="Arial" w:cs="Arial"/>
          <w:sz w:val="22"/>
          <w:szCs w:val="22"/>
          <w:lang w:val="es-AR"/>
        </w:rPr>
        <w:t>, siendo muy frecuentes sobre todo en la temporada estival en el área del caldenal (Fischer et al., 2012).</w:t>
      </w:r>
    </w:p>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El mapeo de incendios durante las temporadas de verano forma parte de las actividades de gestión de la Dirección General de Recursos Naturales de La Pampa, desde la sanción de la Ley Provincial de Bosques en el año 2011.  Sin embargo, la complejidad de la problemática amerita un abordaje integral que involucre múltiples áreas de gobierno y de la sociedad civil y para ello resulta necesario que la información generada en esta dependencia pueda ser puesta a disposición de quien la requiera.</w:t>
      </w:r>
    </w:p>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El presente trabajo tiene como objetivos la de caracterizar la ocurrencia de incendios durante la temporada alta de incidencia (noviembre a febrero), desde el año 2011 al 2023, en la provincia de La Pampa (identificando particularmente las áreas boscosas quemadas), y además aportar elementos e información geoespacial a las entidades gubernamentales y al público en general, para una mejor comprensión de la problemática.</w:t>
      </w:r>
    </w:p>
    <w:p w:rsidR="000D001B" w:rsidRPr="00A831C5" w:rsidRDefault="000D001B">
      <w:pPr>
        <w:pBdr>
          <w:top w:val="nil"/>
          <w:left w:val="nil"/>
          <w:bottom w:val="nil"/>
          <w:right w:val="nil"/>
          <w:between w:val="nil"/>
        </w:pBdr>
        <w:spacing w:after="120"/>
        <w:jc w:val="both"/>
        <w:rPr>
          <w:rFonts w:ascii="Arial" w:eastAsia="Arial" w:hAnsi="Arial" w:cs="Arial"/>
          <w:sz w:val="22"/>
          <w:szCs w:val="22"/>
          <w:lang w:val="es-AR"/>
        </w:rPr>
      </w:pPr>
    </w:p>
    <w:p w:rsidR="000D001B" w:rsidRDefault="00CA4E37">
      <w:pPr>
        <w:tabs>
          <w:tab w:val="left" w:pos="550"/>
        </w:tabs>
        <w:spacing w:after="120"/>
        <w:jc w:val="both"/>
        <w:rPr>
          <w:rFonts w:ascii="Arial" w:eastAsia="Arial" w:hAnsi="Arial" w:cs="Arial"/>
          <w:sz w:val="22"/>
          <w:szCs w:val="22"/>
        </w:rPr>
      </w:pPr>
      <w:r>
        <w:rPr>
          <w:rFonts w:ascii="Arial" w:eastAsia="Arial" w:hAnsi="Arial" w:cs="Arial"/>
          <w:b/>
          <w:sz w:val="22"/>
          <w:szCs w:val="22"/>
        </w:rPr>
        <w:t xml:space="preserve">2. </w:t>
      </w:r>
      <w:r w:rsidR="00A831C5" w:rsidRPr="00A831C5">
        <w:rPr>
          <w:rFonts w:ascii="Arial" w:eastAsia="Arial" w:hAnsi="Arial" w:cs="Arial"/>
          <w:b/>
          <w:sz w:val="22"/>
          <w:szCs w:val="22"/>
          <w:lang w:val="es-AR"/>
        </w:rPr>
        <w:t>METODOLOGÍA</w:t>
      </w:r>
    </w:p>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 xml:space="preserve">El análisis sólo tuvo en cuenta la superficie quemada afectada dentro de la temporada alta de incendios (desde el mes de noviembre a febrero), puesto que es el periodo más importante en cuanto superficie afectada, y donde las quemas prescriptas no se encuentran habilitadas (práctica habitual y legal en la provincia de La Pampa). Asimismo, otro recorte temporal realizado se corresponde con el periodo de análisis, el cual se desarrolló entre el 2011 (año de la sanción de la Ley Provincial de Bosques Nº 2624) y el año 2023, abarcando de esta manera 12 temporadas de incendios. </w:t>
      </w:r>
    </w:p>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 xml:space="preserve">La definición de áreas quemadas se realizó mediante interpretación visual de imágenes satelitales del sensor MODIS (Satélites Terra y Aqua de la NASA) utilizando una composición de bandas RGB-721 (Chuvieco, 2002), y complementando la interpretación con los puntos de calor de los sensores MODIS y VIIRS. Posterior a la identificación de un área quemada se procedía a su digitalización manual en una escala de trabajo aproximada de 1:250.000 y se le asignaba la fecha donde se detectaba la cicatriz de fuego. Para minimizar que las cicatrices de fuego se “borraran” o perdieran definición entre el inicio y fin de cada temporada, así como tener un mejor fechado o que permita su evaluación </w:t>
      </w:r>
      <w:r w:rsidRPr="00A831C5">
        <w:rPr>
          <w:rFonts w:ascii="Arial" w:eastAsia="Arial" w:hAnsi="Arial" w:cs="Arial"/>
          <w:sz w:val="22"/>
          <w:szCs w:val="22"/>
          <w:lang w:val="es-AR"/>
        </w:rPr>
        <w:lastRenderedPageBreak/>
        <w:t>progresiva se utilizaron entre 12 y 25 imágenes satelitales por temporada, explorando la superficie de la provincia a modo de barrido en cada una de ellas.</w:t>
      </w:r>
    </w:p>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Una vez identificadas y mapeadas las áreas quemadas, se procedió a identificar las áreas de bosques afectadas por dichos eventos, utilizando para ello la cobertura de bosques nativos dispuesta en el Ordenamiento Territorial de Bosques Nativos</w:t>
      </w:r>
      <w:r w:rsidR="00205AE5">
        <w:rPr>
          <w:rFonts w:ascii="Arial" w:eastAsia="Arial" w:hAnsi="Arial" w:cs="Arial"/>
          <w:sz w:val="22"/>
          <w:szCs w:val="22"/>
          <w:lang w:val="es-AR"/>
        </w:rPr>
        <w:t xml:space="preserve"> (OTBN)</w:t>
      </w:r>
      <w:r w:rsidRPr="00A831C5">
        <w:rPr>
          <w:rFonts w:ascii="Arial" w:eastAsia="Arial" w:hAnsi="Arial" w:cs="Arial"/>
          <w:sz w:val="22"/>
          <w:szCs w:val="22"/>
          <w:lang w:val="es-AR"/>
        </w:rPr>
        <w:t xml:space="preserve"> de la provincia de La Pampa, consultando para ello los geoservicios del Ministerio de Ambiente y Desarrollo Sustentable de la Nación (MAYDS).</w:t>
      </w:r>
    </w:p>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 xml:space="preserve">Posteriormente, se procedió a elaborar la cartografía para describir la distribución espacial de las áreas afectadas por incendios, y se calcularon distintos parámetros de estadística descriptiva para su caracterización temporal tanto intratemporada como entre temporadas de incendios. </w:t>
      </w:r>
    </w:p>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 xml:space="preserve">Finalmente, mediante la superposición espacial de las distintas temporadas de incendios se procedió a evaluar la recurrencia del fuego tanto de manera cuantitativa como espacial.  </w:t>
      </w:r>
    </w:p>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Para poner la información geoespacial generada y analizada en el presente trabajo a disposición de entidades gubernamentales y del público en general, se decidió utilizar la Infraestructura de Datos Espaciales de la Provincia de La Pampa (IDELP) ya que constituye el ámbito más adecuado para el intercambio de información geoespacial de la provincia. Para ello se contactó al equipo técnico de la Dirección General de Catastro de la provincia (a cargo del desarrollo de la IDELP) con quien se mantuvo un intercambio técnico a fin de iniciar el proceso de publicación de dicha información (en proceso).</w:t>
      </w:r>
    </w:p>
    <w:p w:rsidR="000D001B" w:rsidRDefault="000D001B">
      <w:pPr>
        <w:pBdr>
          <w:top w:val="nil"/>
          <w:left w:val="nil"/>
          <w:bottom w:val="nil"/>
          <w:right w:val="nil"/>
          <w:between w:val="nil"/>
        </w:pBdr>
        <w:spacing w:after="120"/>
        <w:jc w:val="both"/>
        <w:rPr>
          <w:rFonts w:ascii="Arial" w:eastAsia="Arial" w:hAnsi="Arial" w:cs="Arial"/>
          <w:sz w:val="22"/>
          <w:szCs w:val="22"/>
        </w:rPr>
      </w:pPr>
    </w:p>
    <w:p w:rsidR="000D001B" w:rsidRDefault="00CA4E37">
      <w:pPr>
        <w:pBdr>
          <w:top w:val="nil"/>
          <w:left w:val="nil"/>
          <w:bottom w:val="nil"/>
          <w:right w:val="nil"/>
          <w:between w:val="nil"/>
        </w:pBdr>
        <w:tabs>
          <w:tab w:val="left" w:pos="550"/>
        </w:tabs>
        <w:spacing w:after="120"/>
        <w:jc w:val="both"/>
        <w:rPr>
          <w:rFonts w:ascii="Arial" w:eastAsia="Arial" w:hAnsi="Arial" w:cs="Arial"/>
          <w:sz w:val="22"/>
          <w:szCs w:val="22"/>
        </w:rPr>
      </w:pPr>
      <w:r>
        <w:rPr>
          <w:rFonts w:ascii="Arial" w:eastAsia="Arial" w:hAnsi="Arial" w:cs="Arial"/>
          <w:b/>
          <w:sz w:val="22"/>
          <w:szCs w:val="22"/>
        </w:rPr>
        <w:t xml:space="preserve">3. </w:t>
      </w:r>
      <w:r w:rsidR="00A831C5">
        <w:rPr>
          <w:rFonts w:ascii="Arial" w:eastAsia="Arial" w:hAnsi="Arial" w:cs="Arial"/>
          <w:b/>
          <w:sz w:val="22"/>
          <w:szCs w:val="22"/>
        </w:rPr>
        <w:t>RESULTADOS</w:t>
      </w:r>
    </w:p>
    <w:p w:rsidR="00A831C5" w:rsidRPr="00A831C5" w:rsidRDefault="00A831C5" w:rsidP="00A831C5">
      <w:pPr>
        <w:pBdr>
          <w:top w:val="nil"/>
          <w:left w:val="nil"/>
          <w:bottom w:val="nil"/>
          <w:right w:val="nil"/>
          <w:between w:val="nil"/>
        </w:pBdr>
        <w:spacing w:after="120"/>
        <w:jc w:val="both"/>
        <w:rPr>
          <w:rFonts w:ascii="Arial" w:eastAsia="Arial" w:hAnsi="Arial" w:cs="Arial"/>
          <w:b/>
          <w:sz w:val="22"/>
          <w:szCs w:val="22"/>
          <w:lang w:val="es-AR"/>
        </w:rPr>
      </w:pPr>
      <w:r w:rsidRPr="00A831C5">
        <w:rPr>
          <w:rFonts w:ascii="Arial" w:eastAsia="Arial" w:hAnsi="Arial" w:cs="Arial"/>
          <w:b/>
          <w:sz w:val="22"/>
          <w:szCs w:val="22"/>
          <w:lang w:val="es-AR"/>
        </w:rPr>
        <w:t>Superficie Quemada en La Pampa</w:t>
      </w:r>
    </w:p>
    <w:p w:rsidR="00205AE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La superficie quemada acumulada en la provincia de La Pampa entre las temporadas 2011-2012 y 2022-2023 es de aproximadamente 3589882 hectáreas (</w:t>
      </w:r>
      <w:r w:rsidR="00205AE5">
        <w:rPr>
          <w:rFonts w:ascii="Arial" w:eastAsia="Arial" w:hAnsi="Arial" w:cs="Arial"/>
          <w:sz w:val="22"/>
          <w:szCs w:val="22"/>
          <w:lang w:val="es-AR"/>
        </w:rPr>
        <w:t>Tabla</w:t>
      </w:r>
      <w:r w:rsidRPr="00A831C5">
        <w:rPr>
          <w:rFonts w:ascii="Arial" w:eastAsia="Arial" w:hAnsi="Arial" w:cs="Arial"/>
          <w:sz w:val="22"/>
          <w:szCs w:val="22"/>
          <w:lang w:val="es-AR"/>
        </w:rPr>
        <w:t xml:space="preserve"> Nº 1) lo que representa en términos comparativos, un 25% de la superficie total de La Pampa.</w:t>
      </w:r>
    </w:p>
    <w:p w:rsidR="00205AE5" w:rsidRDefault="00205AE5" w:rsidP="00A831C5">
      <w:pPr>
        <w:pBdr>
          <w:top w:val="nil"/>
          <w:left w:val="nil"/>
          <w:bottom w:val="nil"/>
          <w:right w:val="nil"/>
          <w:between w:val="nil"/>
        </w:pBdr>
        <w:spacing w:after="120"/>
        <w:jc w:val="both"/>
        <w:rPr>
          <w:rFonts w:ascii="Arial" w:eastAsia="Arial" w:hAnsi="Arial" w:cs="Arial"/>
          <w:sz w:val="22"/>
          <w:szCs w:val="22"/>
          <w:lang w:val="es-AR"/>
        </w:rPr>
      </w:pPr>
    </w:p>
    <w:p w:rsidR="00A831C5" w:rsidRPr="00A831C5" w:rsidRDefault="00205AE5" w:rsidP="00543075">
      <w:pPr>
        <w:pBdr>
          <w:top w:val="nil"/>
          <w:left w:val="nil"/>
          <w:bottom w:val="nil"/>
          <w:right w:val="nil"/>
          <w:between w:val="nil"/>
        </w:pBdr>
        <w:spacing w:after="120"/>
        <w:jc w:val="center"/>
        <w:rPr>
          <w:rFonts w:ascii="Arial" w:eastAsia="Arial" w:hAnsi="Arial" w:cs="Arial"/>
          <w:sz w:val="22"/>
          <w:szCs w:val="22"/>
          <w:lang w:val="es-AR"/>
        </w:rPr>
      </w:pPr>
      <w:r>
        <w:rPr>
          <w:rFonts w:ascii="Arial" w:eastAsia="Arial" w:hAnsi="Arial" w:cs="Arial"/>
          <w:sz w:val="18"/>
          <w:szCs w:val="18"/>
          <w:lang w:val="es-AR"/>
        </w:rPr>
        <w:t xml:space="preserve">Tabla </w:t>
      </w:r>
      <w:r w:rsidRPr="00A831C5">
        <w:rPr>
          <w:rFonts w:ascii="Arial" w:eastAsia="Arial" w:hAnsi="Arial" w:cs="Arial"/>
          <w:sz w:val="18"/>
          <w:szCs w:val="18"/>
          <w:lang w:val="es-AR"/>
        </w:rPr>
        <w:t xml:space="preserve">N° 1: Tabla con las superficies (Hectáreas) quemadas acumuladas por temporadas (meses de </w:t>
      </w:r>
      <w:r w:rsidRPr="00A831C5">
        <w:rPr>
          <w:rFonts w:ascii="Arial" w:eastAsia="Arial" w:hAnsi="Arial" w:cs="Arial"/>
          <w:sz w:val="18"/>
          <w:szCs w:val="18"/>
          <w:lang w:val="es-AR"/>
        </w:rPr>
        <w:t>noviembre</w:t>
      </w:r>
      <w:r w:rsidRPr="00A831C5">
        <w:rPr>
          <w:rFonts w:ascii="Arial" w:eastAsia="Arial" w:hAnsi="Arial" w:cs="Arial"/>
          <w:sz w:val="18"/>
          <w:szCs w:val="18"/>
          <w:lang w:val="es-AR"/>
        </w:rPr>
        <w:t xml:space="preserve"> a </w:t>
      </w:r>
      <w:r w:rsidRPr="00A831C5">
        <w:rPr>
          <w:rFonts w:ascii="Arial" w:eastAsia="Arial" w:hAnsi="Arial" w:cs="Arial"/>
          <w:sz w:val="18"/>
          <w:szCs w:val="18"/>
          <w:lang w:val="es-AR"/>
        </w:rPr>
        <w:t>febrero</w:t>
      </w:r>
      <w:r w:rsidRPr="00A831C5">
        <w:rPr>
          <w:rFonts w:ascii="Arial" w:eastAsia="Arial" w:hAnsi="Arial" w:cs="Arial"/>
          <w:sz w:val="18"/>
          <w:szCs w:val="18"/>
          <w:lang w:val="es-AR"/>
        </w:rPr>
        <w:t xml:space="preserve">) en la provincia de La Pampa desde la temporada 2011-2012 a la </w:t>
      </w:r>
      <w:r w:rsidRPr="00A831C5">
        <w:rPr>
          <w:rFonts w:ascii="Arial" w:eastAsia="Arial" w:hAnsi="Arial" w:cs="Arial"/>
          <w:sz w:val="18"/>
          <w:szCs w:val="18"/>
          <w:lang w:val="es-AR"/>
        </w:rPr>
        <w:lastRenderedPageBreak/>
        <w:t>temporada 2022-2023.</w:t>
      </w:r>
      <w:r w:rsidR="00A831C5" w:rsidRPr="00A831C5">
        <w:rPr>
          <w:rFonts w:ascii="Arial" w:eastAsia="Arial" w:hAnsi="Arial" w:cs="Arial"/>
          <w:sz w:val="22"/>
          <w:szCs w:val="22"/>
          <w:lang w:val="en-US"/>
        </w:rPr>
        <w:drawing>
          <wp:inline distT="0" distB="0" distL="0" distR="0" wp14:anchorId="1CF19C86" wp14:editId="7C0E92DF">
            <wp:extent cx="4762500" cy="27508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750820"/>
                    </a:xfrm>
                    <a:prstGeom prst="rect">
                      <a:avLst/>
                    </a:prstGeom>
                    <a:noFill/>
                    <a:ln>
                      <a:noFill/>
                    </a:ln>
                  </pic:spPr>
                </pic:pic>
              </a:graphicData>
            </a:graphic>
          </wp:inline>
        </w:drawing>
      </w:r>
    </w:p>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La temporada 2016-2017 fue la que presento mayor cantidad de superficie incendiada, mientras que la temporada 2012-2013 fue la que registró menor incidencia del fuego, existiendo una gran variabilidad en la superficie quemada entre años.</w:t>
      </w:r>
    </w:p>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Puede apreciarse que enero es el mes que mayor acumulación de superficie quemada posee, siendo los meses de diciembre y febrero los meses que le siguen en importancia en términos de superficie acumulada (</w:t>
      </w:r>
      <w:r w:rsidR="00205AE5">
        <w:rPr>
          <w:rFonts w:ascii="Arial" w:eastAsia="Arial" w:hAnsi="Arial" w:cs="Arial"/>
          <w:sz w:val="22"/>
          <w:szCs w:val="22"/>
          <w:lang w:val="es-AR"/>
        </w:rPr>
        <w:t>Tabla</w:t>
      </w:r>
      <w:r w:rsidRPr="00A831C5">
        <w:rPr>
          <w:rFonts w:ascii="Arial" w:eastAsia="Arial" w:hAnsi="Arial" w:cs="Arial"/>
          <w:sz w:val="22"/>
          <w:szCs w:val="22"/>
          <w:lang w:val="es-AR"/>
        </w:rPr>
        <w:t xml:space="preserve"> Nº 1 y</w:t>
      </w:r>
      <w:r w:rsidR="00205AE5">
        <w:rPr>
          <w:rFonts w:ascii="Arial" w:eastAsia="Arial" w:hAnsi="Arial" w:cs="Arial"/>
          <w:sz w:val="22"/>
          <w:szCs w:val="22"/>
          <w:lang w:val="es-AR"/>
        </w:rPr>
        <w:t xml:space="preserve"> Figura Nº1</w:t>
      </w:r>
      <w:r w:rsidRPr="00A831C5">
        <w:rPr>
          <w:rFonts w:ascii="Arial" w:eastAsia="Arial" w:hAnsi="Arial" w:cs="Arial"/>
          <w:sz w:val="22"/>
          <w:szCs w:val="22"/>
          <w:lang w:val="es-AR"/>
        </w:rPr>
        <w:t xml:space="preserve">). Sin embargo, como se puede observar en la Figura Nº </w:t>
      </w:r>
      <w:r w:rsidR="00205AE5">
        <w:rPr>
          <w:rFonts w:ascii="Arial" w:eastAsia="Arial" w:hAnsi="Arial" w:cs="Arial"/>
          <w:sz w:val="22"/>
          <w:szCs w:val="22"/>
          <w:lang w:val="es-AR"/>
        </w:rPr>
        <w:t>1</w:t>
      </w:r>
      <w:r w:rsidRPr="00A831C5">
        <w:rPr>
          <w:rFonts w:ascii="Arial" w:eastAsia="Arial" w:hAnsi="Arial" w:cs="Arial"/>
          <w:sz w:val="22"/>
          <w:szCs w:val="22"/>
          <w:lang w:val="es-AR"/>
        </w:rPr>
        <w:t xml:space="preserve"> estos resultados están fuertemente influenciados por las temporadas donde ocurrieron grandes incendios forestales.</w:t>
      </w:r>
    </w:p>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n-US"/>
        </w:rPr>
        <w:lastRenderedPageBreak/>
        <w:drawing>
          <wp:inline distT="0" distB="0" distL="0" distR="0" wp14:anchorId="56257F2E" wp14:editId="778CDF73">
            <wp:extent cx="5013960" cy="2910840"/>
            <wp:effectExtent l="0" t="0" r="15240" b="381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831C5" w:rsidRPr="00A831C5" w:rsidRDefault="00A831C5" w:rsidP="00A831C5">
      <w:pPr>
        <w:pBdr>
          <w:top w:val="nil"/>
          <w:left w:val="nil"/>
          <w:bottom w:val="nil"/>
          <w:right w:val="nil"/>
          <w:between w:val="nil"/>
        </w:pBdr>
        <w:spacing w:after="120"/>
        <w:jc w:val="center"/>
        <w:rPr>
          <w:rFonts w:ascii="Arial" w:eastAsia="Arial" w:hAnsi="Arial" w:cs="Arial"/>
          <w:sz w:val="18"/>
          <w:szCs w:val="18"/>
          <w:lang w:val="es-AR"/>
        </w:rPr>
      </w:pPr>
      <w:r w:rsidRPr="00A831C5">
        <w:rPr>
          <w:rFonts w:ascii="Arial" w:eastAsia="Arial" w:hAnsi="Arial" w:cs="Arial"/>
          <w:sz w:val="18"/>
          <w:szCs w:val="18"/>
          <w:lang w:val="es-AR"/>
        </w:rPr>
        <w:t xml:space="preserve">Figura N° </w:t>
      </w:r>
      <w:r w:rsidR="00205AE5">
        <w:rPr>
          <w:rFonts w:ascii="Arial" w:eastAsia="Arial" w:hAnsi="Arial" w:cs="Arial"/>
          <w:sz w:val="18"/>
          <w:szCs w:val="18"/>
          <w:lang w:val="es-AR"/>
        </w:rPr>
        <w:t>1</w:t>
      </w:r>
      <w:r w:rsidRPr="00A831C5">
        <w:rPr>
          <w:rFonts w:ascii="Arial" w:eastAsia="Arial" w:hAnsi="Arial" w:cs="Arial"/>
          <w:sz w:val="18"/>
          <w:szCs w:val="18"/>
          <w:lang w:val="es-AR"/>
        </w:rPr>
        <w:t>: Superficie acumulada y distribución temporal de las superficies quemadas en cada periodo.</w:t>
      </w:r>
    </w:p>
    <w:p w:rsidR="00A831C5" w:rsidRDefault="00A831C5" w:rsidP="00A831C5">
      <w:pPr>
        <w:pBdr>
          <w:top w:val="nil"/>
          <w:left w:val="nil"/>
          <w:bottom w:val="nil"/>
          <w:right w:val="nil"/>
          <w:between w:val="nil"/>
        </w:pBdr>
        <w:spacing w:after="120"/>
        <w:jc w:val="both"/>
        <w:rPr>
          <w:rFonts w:ascii="Arial" w:eastAsia="Arial" w:hAnsi="Arial" w:cs="Arial"/>
          <w:bCs/>
          <w:sz w:val="22"/>
          <w:szCs w:val="22"/>
          <w:lang w:val="es-AR"/>
        </w:rPr>
      </w:pPr>
      <w:r w:rsidRPr="00A831C5">
        <w:rPr>
          <w:rFonts w:ascii="Arial" w:eastAsia="Arial" w:hAnsi="Arial" w:cs="Arial"/>
          <w:sz w:val="22"/>
          <w:szCs w:val="22"/>
          <w:lang w:val="es-AR"/>
        </w:rPr>
        <w:t xml:space="preserve">En cuanto a la superficie de bosque quemada se registró un total acumulado de </w:t>
      </w:r>
      <w:r w:rsidR="00205AE5" w:rsidRPr="00205AE5">
        <w:rPr>
          <w:rFonts w:ascii="Arial" w:eastAsia="Arial" w:hAnsi="Arial" w:cs="Arial"/>
          <w:bCs/>
          <w:sz w:val="22"/>
          <w:szCs w:val="22"/>
          <w:lang w:val="es-AR"/>
        </w:rPr>
        <w:t>1741864</w:t>
      </w:r>
      <w:r w:rsidR="00205AE5">
        <w:rPr>
          <w:rFonts w:ascii="Arial" w:eastAsia="Arial" w:hAnsi="Arial" w:cs="Arial"/>
          <w:bCs/>
          <w:sz w:val="22"/>
          <w:szCs w:val="22"/>
          <w:lang w:val="es-AR"/>
        </w:rPr>
        <w:t xml:space="preserve"> </w:t>
      </w:r>
      <w:r w:rsidRPr="00A831C5">
        <w:rPr>
          <w:rFonts w:ascii="Arial" w:eastAsia="Arial" w:hAnsi="Arial" w:cs="Arial"/>
          <w:bCs/>
          <w:sz w:val="22"/>
          <w:szCs w:val="22"/>
          <w:lang w:val="es-AR"/>
        </w:rPr>
        <w:t>hectáreas aproximadamente (</w:t>
      </w:r>
      <w:r w:rsidR="00205AE5">
        <w:rPr>
          <w:rFonts w:ascii="Arial" w:eastAsia="Arial" w:hAnsi="Arial" w:cs="Arial"/>
          <w:bCs/>
          <w:sz w:val="22"/>
          <w:szCs w:val="22"/>
          <w:lang w:val="es-AR"/>
        </w:rPr>
        <w:t>Tabla</w:t>
      </w:r>
      <w:r w:rsidRPr="00A831C5">
        <w:rPr>
          <w:rFonts w:ascii="Arial" w:eastAsia="Arial" w:hAnsi="Arial" w:cs="Arial"/>
          <w:bCs/>
          <w:sz w:val="22"/>
          <w:szCs w:val="22"/>
          <w:lang w:val="es-AR"/>
        </w:rPr>
        <w:t xml:space="preserve"> Nº </w:t>
      </w:r>
      <w:r w:rsidR="00205AE5">
        <w:rPr>
          <w:rFonts w:ascii="Arial" w:eastAsia="Arial" w:hAnsi="Arial" w:cs="Arial"/>
          <w:bCs/>
          <w:sz w:val="22"/>
          <w:szCs w:val="22"/>
          <w:lang w:val="es-AR"/>
        </w:rPr>
        <w:t>2</w:t>
      </w:r>
      <w:r w:rsidRPr="00A831C5">
        <w:rPr>
          <w:rFonts w:ascii="Arial" w:eastAsia="Arial" w:hAnsi="Arial" w:cs="Arial"/>
          <w:bCs/>
          <w:sz w:val="22"/>
          <w:szCs w:val="22"/>
          <w:lang w:val="es-AR"/>
        </w:rPr>
        <w:t>), lo que representa aproximadamente la mitad de la superficie de bosque de la provincia reconocida por el OTBN.</w:t>
      </w:r>
    </w:p>
    <w:p w:rsidR="00205AE5" w:rsidRDefault="00205AE5" w:rsidP="00A831C5">
      <w:pPr>
        <w:pBdr>
          <w:top w:val="nil"/>
          <w:left w:val="nil"/>
          <w:bottom w:val="nil"/>
          <w:right w:val="nil"/>
          <w:between w:val="nil"/>
        </w:pBdr>
        <w:spacing w:after="120"/>
        <w:jc w:val="both"/>
        <w:rPr>
          <w:rFonts w:ascii="Arial" w:eastAsia="Arial" w:hAnsi="Arial" w:cs="Arial"/>
          <w:bCs/>
          <w:sz w:val="22"/>
          <w:szCs w:val="22"/>
          <w:lang w:val="es-AR"/>
        </w:rPr>
      </w:pPr>
    </w:p>
    <w:p w:rsidR="00205AE5" w:rsidRPr="00A831C5" w:rsidRDefault="00205AE5" w:rsidP="00205AE5">
      <w:pPr>
        <w:pBdr>
          <w:top w:val="nil"/>
          <w:left w:val="nil"/>
          <w:bottom w:val="nil"/>
          <w:right w:val="nil"/>
          <w:between w:val="nil"/>
        </w:pBdr>
        <w:spacing w:after="120"/>
        <w:jc w:val="center"/>
        <w:rPr>
          <w:rFonts w:ascii="Arial" w:eastAsia="Arial" w:hAnsi="Arial" w:cs="Arial"/>
          <w:sz w:val="18"/>
          <w:szCs w:val="18"/>
          <w:lang w:val="es-AR"/>
        </w:rPr>
      </w:pPr>
      <w:r>
        <w:rPr>
          <w:rFonts w:ascii="Arial" w:eastAsia="Arial" w:hAnsi="Arial" w:cs="Arial"/>
          <w:sz w:val="18"/>
          <w:szCs w:val="18"/>
          <w:lang w:val="es-AR"/>
        </w:rPr>
        <w:t>Tabla</w:t>
      </w:r>
      <w:r w:rsidRPr="00A831C5">
        <w:rPr>
          <w:rFonts w:ascii="Arial" w:eastAsia="Arial" w:hAnsi="Arial" w:cs="Arial"/>
          <w:sz w:val="18"/>
          <w:szCs w:val="18"/>
          <w:lang w:val="es-AR"/>
        </w:rPr>
        <w:t xml:space="preserve"> N° </w:t>
      </w:r>
      <w:r>
        <w:rPr>
          <w:rFonts w:ascii="Arial" w:eastAsia="Arial" w:hAnsi="Arial" w:cs="Arial"/>
          <w:sz w:val="18"/>
          <w:szCs w:val="18"/>
          <w:lang w:val="es-AR"/>
        </w:rPr>
        <w:t>2</w:t>
      </w:r>
      <w:r w:rsidRPr="00A831C5">
        <w:rPr>
          <w:rFonts w:ascii="Arial" w:eastAsia="Arial" w:hAnsi="Arial" w:cs="Arial"/>
          <w:sz w:val="18"/>
          <w:szCs w:val="18"/>
          <w:lang w:val="es-AR"/>
        </w:rPr>
        <w:t xml:space="preserve">: Tabla con las superficies (Hectáreas) de bosques quemadas por </w:t>
      </w:r>
      <w:r>
        <w:rPr>
          <w:rFonts w:ascii="Arial" w:eastAsia="Arial" w:hAnsi="Arial" w:cs="Arial"/>
          <w:sz w:val="18"/>
          <w:szCs w:val="18"/>
          <w:lang w:val="es-AR"/>
        </w:rPr>
        <w:t>temporadas (meses de n</w:t>
      </w:r>
      <w:r w:rsidRPr="00A831C5">
        <w:rPr>
          <w:rFonts w:ascii="Arial" w:eastAsia="Arial" w:hAnsi="Arial" w:cs="Arial"/>
          <w:sz w:val="18"/>
          <w:szCs w:val="18"/>
          <w:lang w:val="es-AR"/>
        </w:rPr>
        <w:t xml:space="preserve">oviembre a </w:t>
      </w:r>
      <w:r>
        <w:rPr>
          <w:rFonts w:ascii="Arial" w:eastAsia="Arial" w:hAnsi="Arial" w:cs="Arial"/>
          <w:sz w:val="18"/>
          <w:szCs w:val="18"/>
          <w:lang w:val="es-AR"/>
        </w:rPr>
        <w:t>f</w:t>
      </w:r>
      <w:r w:rsidRPr="00A831C5">
        <w:rPr>
          <w:rFonts w:ascii="Arial" w:eastAsia="Arial" w:hAnsi="Arial" w:cs="Arial"/>
          <w:sz w:val="18"/>
          <w:szCs w:val="18"/>
          <w:lang w:val="es-AR"/>
        </w:rPr>
        <w:t>ebrero) en la provincia de La Pampa desde la temporada 2011-2012 a la temporada 2022-2023.</w:t>
      </w:r>
    </w:p>
    <w:tbl>
      <w:tblPr>
        <w:tblW w:w="7602" w:type="dxa"/>
        <w:jc w:val="center"/>
        <w:tblLook w:val="04A0" w:firstRow="1" w:lastRow="0" w:firstColumn="1" w:lastColumn="0" w:noHBand="0" w:noVBand="1"/>
      </w:tblPr>
      <w:tblGrid>
        <w:gridCol w:w="1402"/>
        <w:gridCol w:w="1043"/>
        <w:gridCol w:w="1240"/>
        <w:gridCol w:w="1437"/>
        <w:gridCol w:w="1240"/>
        <w:gridCol w:w="1240"/>
      </w:tblGrid>
      <w:tr w:rsidR="00A831C5" w:rsidRPr="00A831C5" w:rsidTr="00205AE5">
        <w:trPr>
          <w:trHeight w:val="288"/>
          <w:jc w:val="center"/>
        </w:trPr>
        <w:tc>
          <w:tcPr>
            <w:tcW w:w="14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Temporada</w:t>
            </w:r>
          </w:p>
        </w:tc>
        <w:tc>
          <w:tcPr>
            <w:tcW w:w="4960" w:type="dxa"/>
            <w:gridSpan w:val="4"/>
            <w:tcBorders>
              <w:top w:val="single" w:sz="4" w:space="0" w:color="auto"/>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center"/>
              <w:rPr>
                <w:rFonts w:ascii="Arial" w:eastAsia="Arial" w:hAnsi="Arial" w:cs="Arial"/>
                <w:b/>
                <w:bCs/>
                <w:sz w:val="22"/>
                <w:szCs w:val="22"/>
                <w:lang w:val="es-AR"/>
              </w:rPr>
            </w:pPr>
            <w:r w:rsidRPr="00A831C5">
              <w:rPr>
                <w:rFonts w:ascii="Arial" w:eastAsia="Arial" w:hAnsi="Arial" w:cs="Arial"/>
                <w:b/>
                <w:bCs/>
                <w:sz w:val="22"/>
                <w:szCs w:val="22"/>
                <w:lang w:val="es-AR"/>
              </w:rPr>
              <w:t>MESES</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Total</w:t>
            </w:r>
          </w:p>
        </w:tc>
      </w:tr>
      <w:tr w:rsidR="00A831C5" w:rsidRPr="00A831C5" w:rsidTr="00205AE5">
        <w:trPr>
          <w:trHeight w:val="288"/>
          <w:jc w:val="center"/>
        </w:trPr>
        <w:tc>
          <w:tcPr>
            <w:tcW w:w="1402" w:type="dxa"/>
            <w:vMerge/>
            <w:tcBorders>
              <w:top w:val="single" w:sz="4" w:space="0" w:color="auto"/>
              <w:left w:val="single" w:sz="4" w:space="0" w:color="auto"/>
              <w:bottom w:val="single" w:sz="4" w:space="0" w:color="000000"/>
              <w:right w:val="single" w:sz="4" w:space="0" w:color="auto"/>
            </w:tcBorders>
            <w:vAlign w:val="center"/>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p>
        </w:tc>
        <w:tc>
          <w:tcPr>
            <w:tcW w:w="1043" w:type="dxa"/>
            <w:tcBorders>
              <w:top w:val="nil"/>
              <w:left w:val="nil"/>
              <w:bottom w:val="single" w:sz="4" w:space="0" w:color="auto"/>
              <w:right w:val="single" w:sz="4" w:space="0" w:color="auto"/>
            </w:tcBorders>
            <w:shd w:val="clear" w:color="auto" w:fill="auto"/>
            <w:noWrap/>
            <w:vAlign w:val="center"/>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11</w:t>
            </w:r>
          </w:p>
        </w:tc>
        <w:tc>
          <w:tcPr>
            <w:tcW w:w="1240" w:type="dxa"/>
            <w:tcBorders>
              <w:top w:val="nil"/>
              <w:left w:val="nil"/>
              <w:bottom w:val="single" w:sz="4" w:space="0" w:color="auto"/>
              <w:right w:val="single" w:sz="4" w:space="0" w:color="auto"/>
            </w:tcBorders>
            <w:shd w:val="clear" w:color="auto" w:fill="auto"/>
            <w:noWrap/>
            <w:vAlign w:val="center"/>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12</w:t>
            </w:r>
          </w:p>
        </w:tc>
        <w:tc>
          <w:tcPr>
            <w:tcW w:w="1437" w:type="dxa"/>
            <w:tcBorders>
              <w:top w:val="nil"/>
              <w:left w:val="nil"/>
              <w:bottom w:val="single" w:sz="4" w:space="0" w:color="auto"/>
              <w:right w:val="single" w:sz="4" w:space="0" w:color="auto"/>
            </w:tcBorders>
            <w:shd w:val="clear" w:color="auto" w:fill="auto"/>
            <w:noWrap/>
            <w:vAlign w:val="center"/>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1</w:t>
            </w:r>
          </w:p>
        </w:tc>
        <w:tc>
          <w:tcPr>
            <w:tcW w:w="1240" w:type="dxa"/>
            <w:tcBorders>
              <w:top w:val="nil"/>
              <w:left w:val="nil"/>
              <w:bottom w:val="single" w:sz="4" w:space="0" w:color="auto"/>
              <w:right w:val="single" w:sz="4" w:space="0" w:color="auto"/>
            </w:tcBorders>
            <w:shd w:val="clear" w:color="auto" w:fill="auto"/>
            <w:noWrap/>
            <w:vAlign w:val="center"/>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2</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p>
        </w:tc>
      </w:tr>
      <w:tr w:rsidR="00A831C5" w:rsidRPr="00A831C5" w:rsidTr="00205AE5">
        <w:trPr>
          <w:trHeight w:val="288"/>
          <w:jc w:val="center"/>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2011-2012</w:t>
            </w:r>
          </w:p>
        </w:tc>
        <w:tc>
          <w:tcPr>
            <w:tcW w:w="1043"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0</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7162</w:t>
            </w:r>
          </w:p>
        </w:tc>
        <w:tc>
          <w:tcPr>
            <w:tcW w:w="1437"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14595</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286</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22043</w:t>
            </w:r>
          </w:p>
        </w:tc>
      </w:tr>
      <w:tr w:rsidR="00A831C5" w:rsidRPr="00A831C5" w:rsidTr="00205AE5">
        <w:trPr>
          <w:trHeight w:val="288"/>
          <w:jc w:val="center"/>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2012-2013</w:t>
            </w:r>
          </w:p>
        </w:tc>
        <w:tc>
          <w:tcPr>
            <w:tcW w:w="1043"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0</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0</w:t>
            </w:r>
          </w:p>
        </w:tc>
        <w:tc>
          <w:tcPr>
            <w:tcW w:w="1437"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786</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3310</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4096</w:t>
            </w:r>
          </w:p>
        </w:tc>
      </w:tr>
      <w:tr w:rsidR="00A831C5" w:rsidRPr="00A831C5" w:rsidTr="00205AE5">
        <w:trPr>
          <w:trHeight w:val="288"/>
          <w:jc w:val="center"/>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2013-2014</w:t>
            </w:r>
          </w:p>
        </w:tc>
        <w:tc>
          <w:tcPr>
            <w:tcW w:w="1043"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559</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14104</w:t>
            </w:r>
          </w:p>
        </w:tc>
        <w:tc>
          <w:tcPr>
            <w:tcW w:w="1437"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65467</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2316</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82446</w:t>
            </w:r>
          </w:p>
        </w:tc>
      </w:tr>
      <w:tr w:rsidR="00A831C5" w:rsidRPr="00A831C5" w:rsidTr="00205AE5">
        <w:trPr>
          <w:trHeight w:val="288"/>
          <w:jc w:val="center"/>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2014-2015</w:t>
            </w:r>
          </w:p>
        </w:tc>
        <w:tc>
          <w:tcPr>
            <w:tcW w:w="1043"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0</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10203</w:t>
            </w:r>
          </w:p>
        </w:tc>
        <w:tc>
          <w:tcPr>
            <w:tcW w:w="1437"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109201</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5526</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124929</w:t>
            </w:r>
          </w:p>
        </w:tc>
      </w:tr>
      <w:tr w:rsidR="00A831C5" w:rsidRPr="00A831C5" w:rsidTr="00205AE5">
        <w:trPr>
          <w:trHeight w:val="288"/>
          <w:jc w:val="center"/>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2015-2016</w:t>
            </w:r>
          </w:p>
        </w:tc>
        <w:tc>
          <w:tcPr>
            <w:tcW w:w="1043"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1584</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2719</w:t>
            </w:r>
          </w:p>
        </w:tc>
        <w:tc>
          <w:tcPr>
            <w:tcW w:w="1437"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19128</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502</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23933</w:t>
            </w:r>
          </w:p>
        </w:tc>
      </w:tr>
      <w:tr w:rsidR="00A831C5" w:rsidRPr="00A831C5" w:rsidTr="00205AE5">
        <w:trPr>
          <w:trHeight w:val="288"/>
          <w:jc w:val="center"/>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2016-2017</w:t>
            </w:r>
          </w:p>
        </w:tc>
        <w:tc>
          <w:tcPr>
            <w:tcW w:w="1043"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0</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132878</w:t>
            </w:r>
          </w:p>
        </w:tc>
        <w:tc>
          <w:tcPr>
            <w:tcW w:w="1437"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609661</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23888</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766427</w:t>
            </w:r>
          </w:p>
        </w:tc>
      </w:tr>
      <w:tr w:rsidR="00A831C5" w:rsidRPr="00A831C5" w:rsidTr="00205AE5">
        <w:trPr>
          <w:trHeight w:val="288"/>
          <w:jc w:val="center"/>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2017-2018</w:t>
            </w:r>
          </w:p>
        </w:tc>
        <w:tc>
          <w:tcPr>
            <w:tcW w:w="1043"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6641</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10512</w:t>
            </w:r>
          </w:p>
        </w:tc>
        <w:tc>
          <w:tcPr>
            <w:tcW w:w="1437"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352225</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115511</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484889</w:t>
            </w:r>
          </w:p>
        </w:tc>
      </w:tr>
      <w:tr w:rsidR="00A831C5" w:rsidRPr="00A831C5" w:rsidTr="00205AE5">
        <w:trPr>
          <w:trHeight w:val="288"/>
          <w:jc w:val="center"/>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lastRenderedPageBreak/>
              <w:t>2018-2019</w:t>
            </w:r>
          </w:p>
        </w:tc>
        <w:tc>
          <w:tcPr>
            <w:tcW w:w="1043"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498</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29345</w:t>
            </w:r>
          </w:p>
        </w:tc>
        <w:tc>
          <w:tcPr>
            <w:tcW w:w="1437"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34120</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48040</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112003</w:t>
            </w:r>
          </w:p>
        </w:tc>
      </w:tr>
      <w:tr w:rsidR="00A831C5" w:rsidRPr="00A831C5" w:rsidTr="00205AE5">
        <w:trPr>
          <w:trHeight w:val="288"/>
          <w:jc w:val="center"/>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2019-2020</w:t>
            </w:r>
          </w:p>
        </w:tc>
        <w:tc>
          <w:tcPr>
            <w:tcW w:w="1043"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1780</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18477</w:t>
            </w:r>
          </w:p>
        </w:tc>
        <w:tc>
          <w:tcPr>
            <w:tcW w:w="1437"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786</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3138</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24182</w:t>
            </w:r>
          </w:p>
        </w:tc>
      </w:tr>
      <w:tr w:rsidR="00A831C5" w:rsidRPr="00A831C5" w:rsidTr="00205AE5">
        <w:trPr>
          <w:trHeight w:val="288"/>
          <w:jc w:val="center"/>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2020-2021</w:t>
            </w:r>
          </w:p>
        </w:tc>
        <w:tc>
          <w:tcPr>
            <w:tcW w:w="1043"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954</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9157</w:t>
            </w:r>
          </w:p>
        </w:tc>
        <w:tc>
          <w:tcPr>
            <w:tcW w:w="1437"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6486</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2464</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19061</w:t>
            </w:r>
          </w:p>
        </w:tc>
      </w:tr>
      <w:tr w:rsidR="00A831C5" w:rsidRPr="00A831C5" w:rsidTr="00205AE5">
        <w:trPr>
          <w:trHeight w:val="288"/>
          <w:jc w:val="center"/>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2021-2022</w:t>
            </w:r>
          </w:p>
        </w:tc>
        <w:tc>
          <w:tcPr>
            <w:tcW w:w="1043"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0</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680</w:t>
            </w:r>
          </w:p>
        </w:tc>
        <w:tc>
          <w:tcPr>
            <w:tcW w:w="1437"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31749</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2806</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35235</w:t>
            </w:r>
          </w:p>
        </w:tc>
      </w:tr>
      <w:tr w:rsidR="00A831C5" w:rsidRPr="00A831C5" w:rsidTr="00205AE5">
        <w:trPr>
          <w:trHeight w:val="288"/>
          <w:jc w:val="center"/>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2022-2023</w:t>
            </w:r>
          </w:p>
        </w:tc>
        <w:tc>
          <w:tcPr>
            <w:tcW w:w="1043"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1419</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22841</w:t>
            </w:r>
          </w:p>
        </w:tc>
        <w:tc>
          <w:tcPr>
            <w:tcW w:w="1437"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8034</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sz w:val="22"/>
                <w:szCs w:val="22"/>
                <w:lang w:val="es-AR"/>
              </w:rPr>
            </w:pPr>
            <w:r w:rsidRPr="00A831C5">
              <w:rPr>
                <w:rFonts w:ascii="Arial" w:eastAsia="Arial" w:hAnsi="Arial" w:cs="Arial"/>
                <w:sz w:val="22"/>
                <w:szCs w:val="22"/>
                <w:lang w:val="es-AR"/>
              </w:rPr>
              <w:t>10325</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42619</w:t>
            </w:r>
          </w:p>
        </w:tc>
      </w:tr>
      <w:tr w:rsidR="00A831C5" w:rsidRPr="00A831C5" w:rsidTr="00205AE5">
        <w:trPr>
          <w:trHeight w:val="288"/>
          <w:jc w:val="center"/>
        </w:trPr>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Total</w:t>
            </w:r>
          </w:p>
        </w:tc>
        <w:tc>
          <w:tcPr>
            <w:tcW w:w="1043"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13435</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258078</w:t>
            </w:r>
          </w:p>
        </w:tc>
        <w:tc>
          <w:tcPr>
            <w:tcW w:w="1437"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1252238</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218113</w:t>
            </w:r>
          </w:p>
        </w:tc>
        <w:tc>
          <w:tcPr>
            <w:tcW w:w="1240"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1741864</w:t>
            </w:r>
          </w:p>
        </w:tc>
      </w:tr>
    </w:tbl>
    <w:p w:rsidR="00205AE5" w:rsidRDefault="00205AE5" w:rsidP="00A831C5">
      <w:pPr>
        <w:pBdr>
          <w:top w:val="nil"/>
          <w:left w:val="nil"/>
          <w:bottom w:val="nil"/>
          <w:right w:val="nil"/>
          <w:between w:val="nil"/>
        </w:pBdr>
        <w:spacing w:after="120"/>
        <w:jc w:val="both"/>
        <w:rPr>
          <w:rFonts w:ascii="Arial" w:eastAsia="Arial" w:hAnsi="Arial" w:cs="Arial"/>
          <w:bCs/>
          <w:sz w:val="22"/>
          <w:szCs w:val="22"/>
          <w:lang w:val="es-AR"/>
        </w:rPr>
      </w:pPr>
    </w:p>
    <w:p w:rsidR="00A831C5" w:rsidRPr="00A831C5" w:rsidRDefault="00A831C5" w:rsidP="00A831C5">
      <w:pPr>
        <w:pBdr>
          <w:top w:val="nil"/>
          <w:left w:val="nil"/>
          <w:bottom w:val="nil"/>
          <w:right w:val="nil"/>
          <w:between w:val="nil"/>
        </w:pBdr>
        <w:spacing w:after="120"/>
        <w:jc w:val="both"/>
        <w:rPr>
          <w:rFonts w:ascii="Arial" w:eastAsia="Arial" w:hAnsi="Arial" w:cs="Arial"/>
          <w:bCs/>
          <w:sz w:val="22"/>
          <w:szCs w:val="22"/>
          <w:lang w:val="es-AR"/>
        </w:rPr>
      </w:pPr>
      <w:r w:rsidRPr="00A831C5">
        <w:rPr>
          <w:rFonts w:ascii="Arial" w:eastAsia="Arial" w:hAnsi="Arial" w:cs="Arial"/>
          <w:bCs/>
          <w:sz w:val="22"/>
          <w:szCs w:val="22"/>
          <w:lang w:val="es-AR"/>
        </w:rPr>
        <w:t xml:space="preserve">La diferencia entre el total de la superficie quemada y la superficie boscosa quemada, se corresponde a grandes áreas de pastizales naturales y matorrales en el ecotono del espinal y la provincia fitogeográfica del monte. </w:t>
      </w:r>
    </w:p>
    <w:p w:rsidR="00A831C5" w:rsidRPr="00A831C5" w:rsidRDefault="00A831C5" w:rsidP="00A831C5">
      <w:pPr>
        <w:pBdr>
          <w:top w:val="nil"/>
          <w:left w:val="nil"/>
          <w:bottom w:val="nil"/>
          <w:right w:val="nil"/>
          <w:between w:val="nil"/>
        </w:pBdr>
        <w:spacing w:after="120"/>
        <w:jc w:val="both"/>
        <w:rPr>
          <w:rFonts w:ascii="Arial" w:eastAsia="Arial" w:hAnsi="Arial" w:cs="Arial"/>
          <w:bCs/>
          <w:sz w:val="22"/>
          <w:szCs w:val="22"/>
          <w:lang w:val="es-AR"/>
        </w:rPr>
      </w:pPr>
      <w:r w:rsidRPr="00A831C5">
        <w:rPr>
          <w:rFonts w:ascii="Arial" w:eastAsia="Arial" w:hAnsi="Arial" w:cs="Arial"/>
          <w:bCs/>
          <w:sz w:val="22"/>
          <w:szCs w:val="22"/>
          <w:lang w:val="es-AR"/>
        </w:rPr>
        <w:t xml:space="preserve">La superficie de bosque quemada acumulada presenta un comportamiento similar a la superficie quemada general, siendo el mes de enero el que mayor acumulación posee, estando este comportamiento influenciado por las temporadas donde ocurrieron grandes incendios forestales (Figura Nº </w:t>
      </w:r>
      <w:r w:rsidR="00205AE5">
        <w:rPr>
          <w:rFonts w:ascii="Arial" w:eastAsia="Arial" w:hAnsi="Arial" w:cs="Arial"/>
          <w:bCs/>
          <w:sz w:val="22"/>
          <w:szCs w:val="22"/>
          <w:lang w:val="es-AR"/>
        </w:rPr>
        <w:t>2</w:t>
      </w:r>
      <w:r w:rsidRPr="00A831C5">
        <w:rPr>
          <w:rFonts w:ascii="Arial" w:eastAsia="Arial" w:hAnsi="Arial" w:cs="Arial"/>
          <w:bCs/>
          <w:sz w:val="22"/>
          <w:szCs w:val="22"/>
          <w:lang w:val="es-AR"/>
        </w:rPr>
        <w:t xml:space="preserve">). </w:t>
      </w:r>
    </w:p>
    <w:p w:rsidR="00A831C5" w:rsidRPr="00A831C5" w:rsidRDefault="00A831C5" w:rsidP="00A831C5">
      <w:pPr>
        <w:pBdr>
          <w:top w:val="nil"/>
          <w:left w:val="nil"/>
          <w:bottom w:val="nil"/>
          <w:right w:val="nil"/>
          <w:between w:val="nil"/>
        </w:pBdr>
        <w:spacing w:after="120"/>
        <w:jc w:val="both"/>
        <w:rPr>
          <w:rFonts w:ascii="Arial" w:eastAsia="Arial" w:hAnsi="Arial" w:cs="Arial"/>
          <w:bCs/>
          <w:sz w:val="22"/>
          <w:szCs w:val="22"/>
          <w:lang w:val="es-AR"/>
        </w:rPr>
      </w:pPr>
      <w:r w:rsidRPr="00A831C5">
        <w:rPr>
          <w:rFonts w:ascii="Arial" w:eastAsia="Arial" w:hAnsi="Arial" w:cs="Arial"/>
          <w:sz w:val="22"/>
          <w:szCs w:val="22"/>
          <w:lang w:val="en-US"/>
        </w:rPr>
        <w:drawing>
          <wp:inline distT="0" distB="0" distL="0" distR="0" wp14:anchorId="72653383" wp14:editId="2F7628CB">
            <wp:extent cx="4975860" cy="2903220"/>
            <wp:effectExtent l="0" t="0" r="15240" b="1143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831C5" w:rsidRPr="00A831C5" w:rsidRDefault="00A831C5" w:rsidP="00A831C5">
      <w:pPr>
        <w:pBdr>
          <w:top w:val="nil"/>
          <w:left w:val="nil"/>
          <w:bottom w:val="nil"/>
          <w:right w:val="nil"/>
          <w:between w:val="nil"/>
        </w:pBdr>
        <w:spacing w:after="120"/>
        <w:jc w:val="center"/>
        <w:rPr>
          <w:rFonts w:ascii="Arial" w:eastAsia="Arial" w:hAnsi="Arial" w:cs="Arial"/>
          <w:sz w:val="18"/>
          <w:szCs w:val="18"/>
          <w:lang w:val="es-AR"/>
        </w:rPr>
      </w:pPr>
      <w:r w:rsidRPr="00A831C5">
        <w:rPr>
          <w:rFonts w:ascii="Arial" w:eastAsia="Arial" w:hAnsi="Arial" w:cs="Arial"/>
          <w:sz w:val="18"/>
          <w:szCs w:val="18"/>
          <w:lang w:val="es-AR"/>
        </w:rPr>
        <w:t xml:space="preserve">Figura N° </w:t>
      </w:r>
      <w:r w:rsidR="00205AE5">
        <w:rPr>
          <w:rFonts w:ascii="Arial" w:eastAsia="Arial" w:hAnsi="Arial" w:cs="Arial"/>
          <w:sz w:val="18"/>
          <w:szCs w:val="18"/>
          <w:lang w:val="es-AR"/>
        </w:rPr>
        <w:t>2</w:t>
      </w:r>
      <w:r w:rsidRPr="00A831C5">
        <w:rPr>
          <w:rFonts w:ascii="Arial" w:eastAsia="Arial" w:hAnsi="Arial" w:cs="Arial"/>
          <w:sz w:val="18"/>
          <w:szCs w:val="18"/>
          <w:lang w:val="es-AR"/>
        </w:rPr>
        <w:t>: Superficie acumulada y distribución temporal de las superficies de bosques quemadas en cada periodo.</w:t>
      </w:r>
    </w:p>
    <w:p w:rsidR="00A831C5" w:rsidRPr="00A831C5" w:rsidRDefault="00A831C5" w:rsidP="00A831C5">
      <w:pPr>
        <w:pBdr>
          <w:top w:val="nil"/>
          <w:left w:val="nil"/>
          <w:bottom w:val="nil"/>
          <w:right w:val="nil"/>
          <w:between w:val="nil"/>
        </w:pBdr>
        <w:spacing w:after="120"/>
        <w:jc w:val="both"/>
        <w:rPr>
          <w:rFonts w:ascii="Arial" w:eastAsia="Arial" w:hAnsi="Arial" w:cs="Arial"/>
          <w:bCs/>
          <w:sz w:val="22"/>
          <w:szCs w:val="22"/>
          <w:lang w:val="es-AR"/>
        </w:rPr>
      </w:pPr>
      <w:r w:rsidRPr="00A831C5">
        <w:rPr>
          <w:rFonts w:ascii="Arial" w:eastAsia="Arial" w:hAnsi="Arial" w:cs="Arial"/>
          <w:bCs/>
          <w:sz w:val="22"/>
          <w:szCs w:val="22"/>
          <w:lang w:val="es-AR"/>
        </w:rPr>
        <w:t xml:space="preserve">La relación entre superficie de bosque quemada respecto a la superficie total quemada no siempre fue similar entre todas las temporadas (Figura Nº </w:t>
      </w:r>
      <w:r w:rsidR="00205AE5">
        <w:rPr>
          <w:rFonts w:ascii="Arial" w:eastAsia="Arial" w:hAnsi="Arial" w:cs="Arial"/>
          <w:bCs/>
          <w:sz w:val="22"/>
          <w:szCs w:val="22"/>
          <w:lang w:val="es-AR"/>
        </w:rPr>
        <w:t>3</w:t>
      </w:r>
      <w:r w:rsidRPr="00A831C5">
        <w:rPr>
          <w:rFonts w:ascii="Arial" w:eastAsia="Arial" w:hAnsi="Arial" w:cs="Arial"/>
          <w:bCs/>
          <w:sz w:val="22"/>
          <w:szCs w:val="22"/>
          <w:lang w:val="es-AR"/>
        </w:rPr>
        <w:t>).</w:t>
      </w:r>
    </w:p>
    <w:p w:rsidR="00A831C5" w:rsidRPr="00A831C5" w:rsidRDefault="00A831C5" w:rsidP="00A831C5">
      <w:pPr>
        <w:pBdr>
          <w:top w:val="nil"/>
          <w:left w:val="nil"/>
          <w:bottom w:val="nil"/>
          <w:right w:val="nil"/>
          <w:between w:val="nil"/>
        </w:pBdr>
        <w:spacing w:after="120"/>
        <w:jc w:val="both"/>
        <w:rPr>
          <w:rFonts w:ascii="Arial" w:eastAsia="Arial" w:hAnsi="Arial" w:cs="Arial"/>
          <w:bCs/>
          <w:sz w:val="22"/>
          <w:szCs w:val="22"/>
          <w:lang w:val="es-AR"/>
        </w:rPr>
      </w:pPr>
      <w:r w:rsidRPr="00A831C5">
        <w:rPr>
          <w:rFonts w:ascii="Arial" w:eastAsia="Arial" w:hAnsi="Arial" w:cs="Arial"/>
          <w:sz w:val="22"/>
          <w:szCs w:val="22"/>
          <w:lang w:val="en-US"/>
        </w:rPr>
        <w:lastRenderedPageBreak/>
        <w:drawing>
          <wp:inline distT="0" distB="0" distL="0" distR="0" wp14:anchorId="6307C57E" wp14:editId="3C305322">
            <wp:extent cx="4991100" cy="2194560"/>
            <wp:effectExtent l="0" t="0" r="0" b="1524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831C5" w:rsidRPr="00A831C5" w:rsidRDefault="00A831C5" w:rsidP="00A831C5">
      <w:pPr>
        <w:pBdr>
          <w:top w:val="nil"/>
          <w:left w:val="nil"/>
          <w:bottom w:val="nil"/>
          <w:right w:val="nil"/>
          <w:between w:val="nil"/>
        </w:pBdr>
        <w:spacing w:after="120"/>
        <w:jc w:val="center"/>
        <w:rPr>
          <w:rFonts w:ascii="Arial" w:eastAsia="Arial" w:hAnsi="Arial" w:cs="Arial"/>
          <w:sz w:val="18"/>
          <w:szCs w:val="18"/>
          <w:lang w:val="es-AR"/>
        </w:rPr>
      </w:pPr>
      <w:r w:rsidRPr="00A831C5">
        <w:rPr>
          <w:rFonts w:ascii="Arial" w:eastAsia="Arial" w:hAnsi="Arial" w:cs="Arial"/>
          <w:sz w:val="18"/>
          <w:szCs w:val="18"/>
          <w:lang w:val="es-AR"/>
        </w:rPr>
        <w:t xml:space="preserve">Figura N° </w:t>
      </w:r>
      <w:r w:rsidR="00205AE5">
        <w:rPr>
          <w:rFonts w:ascii="Arial" w:eastAsia="Arial" w:hAnsi="Arial" w:cs="Arial"/>
          <w:sz w:val="18"/>
          <w:szCs w:val="18"/>
          <w:lang w:val="es-AR"/>
        </w:rPr>
        <w:t>3</w:t>
      </w:r>
      <w:r w:rsidRPr="00A831C5">
        <w:rPr>
          <w:rFonts w:ascii="Arial" w:eastAsia="Arial" w:hAnsi="Arial" w:cs="Arial"/>
          <w:sz w:val="18"/>
          <w:szCs w:val="18"/>
          <w:lang w:val="es-AR"/>
        </w:rPr>
        <w:t>: Evolución de las superficies quemadas totales y de bosques en la provincia de La Pampa desde la temporada 2011-2012 a la temporada 2022-2023.</w:t>
      </w:r>
    </w:p>
    <w:p w:rsidR="00A831C5" w:rsidRPr="00A831C5" w:rsidRDefault="00A831C5" w:rsidP="00A831C5">
      <w:pPr>
        <w:pBdr>
          <w:top w:val="nil"/>
          <w:left w:val="nil"/>
          <w:bottom w:val="nil"/>
          <w:right w:val="nil"/>
          <w:between w:val="nil"/>
        </w:pBdr>
        <w:spacing w:after="120"/>
        <w:jc w:val="both"/>
        <w:rPr>
          <w:rFonts w:ascii="Arial" w:eastAsia="Arial" w:hAnsi="Arial" w:cs="Arial"/>
          <w:bCs/>
          <w:sz w:val="22"/>
          <w:szCs w:val="22"/>
          <w:lang w:val="es-AR"/>
        </w:rPr>
      </w:pPr>
    </w:p>
    <w:p w:rsidR="00E81F89" w:rsidRDefault="00A831C5" w:rsidP="00A831C5">
      <w:pPr>
        <w:pBdr>
          <w:top w:val="nil"/>
          <w:left w:val="nil"/>
          <w:bottom w:val="nil"/>
          <w:right w:val="nil"/>
          <w:between w:val="nil"/>
        </w:pBdr>
        <w:spacing w:after="120"/>
        <w:jc w:val="both"/>
        <w:rPr>
          <w:rFonts w:ascii="Arial" w:eastAsia="Arial" w:hAnsi="Arial" w:cs="Arial"/>
          <w:bCs/>
          <w:sz w:val="22"/>
          <w:szCs w:val="22"/>
          <w:lang w:val="es-AR"/>
        </w:rPr>
      </w:pPr>
      <w:r w:rsidRPr="00A831C5">
        <w:rPr>
          <w:rFonts w:ascii="Arial" w:eastAsia="Arial" w:hAnsi="Arial" w:cs="Arial"/>
          <w:bCs/>
          <w:sz w:val="22"/>
          <w:szCs w:val="22"/>
          <w:lang w:val="es-AR"/>
        </w:rPr>
        <w:t>La superficie quemada promedio para todo el periodo evaluado fue de casi 300000 hectáreas por año y de casi 150000 hectáreas por año para las superficies de bosques. E</w:t>
      </w:r>
      <w:r w:rsidR="00205AE5">
        <w:rPr>
          <w:rFonts w:ascii="Arial" w:eastAsia="Arial" w:hAnsi="Arial" w:cs="Arial"/>
          <w:bCs/>
          <w:sz w:val="22"/>
          <w:szCs w:val="22"/>
          <w:lang w:val="es-AR"/>
        </w:rPr>
        <w:t>n la</w:t>
      </w:r>
      <w:r w:rsidRPr="00A831C5">
        <w:rPr>
          <w:rFonts w:ascii="Arial" w:eastAsia="Arial" w:hAnsi="Arial" w:cs="Arial"/>
          <w:bCs/>
          <w:sz w:val="22"/>
          <w:szCs w:val="22"/>
          <w:lang w:val="es-AR"/>
        </w:rPr>
        <w:t xml:space="preserve"> </w:t>
      </w:r>
      <w:r w:rsidR="00E81F89">
        <w:rPr>
          <w:rFonts w:ascii="Arial" w:eastAsia="Arial" w:hAnsi="Arial" w:cs="Arial"/>
          <w:bCs/>
          <w:sz w:val="22"/>
          <w:szCs w:val="22"/>
          <w:lang w:val="es-AR"/>
        </w:rPr>
        <w:t>Tabla</w:t>
      </w:r>
      <w:r w:rsidRPr="00A831C5">
        <w:rPr>
          <w:rFonts w:ascii="Arial" w:eastAsia="Arial" w:hAnsi="Arial" w:cs="Arial"/>
          <w:bCs/>
          <w:sz w:val="22"/>
          <w:szCs w:val="22"/>
          <w:lang w:val="es-AR"/>
        </w:rPr>
        <w:t xml:space="preserve"> Nº </w:t>
      </w:r>
      <w:r w:rsidR="00E81F89">
        <w:rPr>
          <w:rFonts w:ascii="Arial" w:eastAsia="Arial" w:hAnsi="Arial" w:cs="Arial"/>
          <w:bCs/>
          <w:sz w:val="22"/>
          <w:szCs w:val="22"/>
          <w:lang w:val="es-AR"/>
        </w:rPr>
        <w:t>3</w:t>
      </w:r>
      <w:r w:rsidRPr="00A831C5">
        <w:rPr>
          <w:rFonts w:ascii="Arial" w:eastAsia="Arial" w:hAnsi="Arial" w:cs="Arial"/>
          <w:bCs/>
          <w:sz w:val="22"/>
          <w:szCs w:val="22"/>
          <w:lang w:val="es-AR"/>
        </w:rPr>
        <w:t xml:space="preserve"> </w:t>
      </w:r>
      <w:r w:rsidR="00E81F89">
        <w:rPr>
          <w:rFonts w:ascii="Arial" w:eastAsia="Arial" w:hAnsi="Arial" w:cs="Arial"/>
          <w:bCs/>
          <w:sz w:val="22"/>
          <w:szCs w:val="22"/>
          <w:lang w:val="es-AR"/>
        </w:rPr>
        <w:t>y Figura Nº</w:t>
      </w:r>
      <w:r w:rsidRPr="00A831C5">
        <w:rPr>
          <w:rFonts w:ascii="Arial" w:eastAsia="Arial" w:hAnsi="Arial" w:cs="Arial"/>
          <w:bCs/>
          <w:sz w:val="22"/>
          <w:szCs w:val="22"/>
          <w:lang w:val="es-AR"/>
        </w:rPr>
        <w:t xml:space="preserve"> </w:t>
      </w:r>
      <w:r w:rsidR="00E81F89">
        <w:rPr>
          <w:rFonts w:ascii="Arial" w:eastAsia="Arial" w:hAnsi="Arial" w:cs="Arial"/>
          <w:bCs/>
          <w:sz w:val="22"/>
          <w:szCs w:val="22"/>
          <w:lang w:val="es-AR"/>
        </w:rPr>
        <w:t>4</w:t>
      </w:r>
      <w:r w:rsidRPr="00A831C5">
        <w:rPr>
          <w:rFonts w:ascii="Arial" w:eastAsia="Arial" w:hAnsi="Arial" w:cs="Arial"/>
          <w:bCs/>
          <w:sz w:val="22"/>
          <w:szCs w:val="22"/>
          <w:lang w:val="es-AR"/>
        </w:rPr>
        <w:t xml:space="preserve"> se observan los estadísticos descriptivos y la distribución de los datos de cada temporada y puede advertirse que el promedio no es tan representativo como medida de lo acontecido en el periodo analizado.</w:t>
      </w:r>
    </w:p>
    <w:p w:rsidR="00E81F89" w:rsidRPr="00A831C5" w:rsidRDefault="00E81F89" w:rsidP="00E81F89">
      <w:pPr>
        <w:pBdr>
          <w:top w:val="nil"/>
          <w:left w:val="nil"/>
          <w:bottom w:val="nil"/>
          <w:right w:val="nil"/>
          <w:between w:val="nil"/>
        </w:pBdr>
        <w:spacing w:after="120"/>
        <w:jc w:val="center"/>
        <w:rPr>
          <w:rFonts w:ascii="Arial" w:eastAsia="Arial" w:hAnsi="Arial" w:cs="Arial"/>
          <w:sz w:val="18"/>
          <w:szCs w:val="18"/>
          <w:lang w:val="es-AR"/>
        </w:rPr>
      </w:pPr>
      <w:r>
        <w:rPr>
          <w:rFonts w:ascii="Arial" w:eastAsia="Arial" w:hAnsi="Arial" w:cs="Arial"/>
          <w:sz w:val="18"/>
          <w:szCs w:val="18"/>
          <w:lang w:val="es-AR"/>
        </w:rPr>
        <w:t>Tabla</w:t>
      </w:r>
      <w:r w:rsidRPr="00A831C5">
        <w:rPr>
          <w:rFonts w:ascii="Arial" w:eastAsia="Arial" w:hAnsi="Arial" w:cs="Arial"/>
          <w:sz w:val="18"/>
          <w:szCs w:val="18"/>
          <w:lang w:val="es-AR"/>
        </w:rPr>
        <w:t xml:space="preserve"> N° </w:t>
      </w:r>
      <w:r>
        <w:rPr>
          <w:rFonts w:ascii="Arial" w:eastAsia="Arial" w:hAnsi="Arial" w:cs="Arial"/>
          <w:sz w:val="18"/>
          <w:szCs w:val="18"/>
          <w:lang w:val="es-AR"/>
        </w:rPr>
        <w:t>3</w:t>
      </w:r>
      <w:r w:rsidRPr="00A831C5">
        <w:rPr>
          <w:rFonts w:ascii="Arial" w:eastAsia="Arial" w:hAnsi="Arial" w:cs="Arial"/>
          <w:sz w:val="18"/>
          <w:szCs w:val="18"/>
          <w:lang w:val="es-AR"/>
        </w:rPr>
        <w:t>: Estadísticos descriptivos de las superficies quemadas totales y de bosques en la provincia de La Pampa desde la temporada 2011-2012 a la temporada 2022-2023.</w:t>
      </w:r>
    </w:p>
    <w:tbl>
      <w:tblPr>
        <w:tblW w:w="7508" w:type="dxa"/>
        <w:jc w:val="center"/>
        <w:tblLook w:val="04A0" w:firstRow="1" w:lastRow="0" w:firstColumn="1" w:lastColumn="0" w:noHBand="0" w:noVBand="1"/>
      </w:tblPr>
      <w:tblGrid>
        <w:gridCol w:w="2547"/>
        <w:gridCol w:w="2253"/>
        <w:gridCol w:w="2708"/>
      </w:tblGrid>
      <w:tr w:rsidR="00A831C5" w:rsidRPr="00A831C5" w:rsidTr="005977C3">
        <w:trPr>
          <w:trHeight w:val="288"/>
          <w:jc w:val="center"/>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 </w:t>
            </w:r>
          </w:p>
        </w:tc>
        <w:tc>
          <w:tcPr>
            <w:tcW w:w="2253" w:type="dxa"/>
            <w:tcBorders>
              <w:top w:val="single" w:sz="4" w:space="0" w:color="auto"/>
              <w:left w:val="nil"/>
              <w:bottom w:val="single" w:sz="4" w:space="0" w:color="auto"/>
              <w:right w:val="single" w:sz="4" w:space="0" w:color="auto"/>
            </w:tcBorders>
            <w:shd w:val="clear" w:color="000000" w:fill="FFFFFF"/>
            <w:noWrap/>
            <w:vAlign w:val="bottom"/>
            <w:hideMark/>
          </w:tcPr>
          <w:p w:rsidR="00A831C5" w:rsidRPr="00A831C5" w:rsidRDefault="00A831C5" w:rsidP="009C6D4A">
            <w:pPr>
              <w:pBdr>
                <w:top w:val="nil"/>
                <w:left w:val="nil"/>
                <w:bottom w:val="nil"/>
                <w:right w:val="nil"/>
                <w:between w:val="nil"/>
              </w:pBdr>
              <w:spacing w:after="120"/>
              <w:jc w:val="center"/>
              <w:rPr>
                <w:rFonts w:ascii="Arial" w:eastAsia="Arial" w:hAnsi="Arial" w:cs="Arial"/>
                <w:b/>
                <w:bCs/>
                <w:sz w:val="22"/>
                <w:szCs w:val="22"/>
                <w:lang w:val="es-AR"/>
              </w:rPr>
            </w:pPr>
            <w:r w:rsidRPr="00A831C5">
              <w:rPr>
                <w:rFonts w:ascii="Arial" w:eastAsia="Arial" w:hAnsi="Arial" w:cs="Arial"/>
                <w:b/>
                <w:bCs/>
                <w:sz w:val="22"/>
                <w:szCs w:val="22"/>
                <w:lang w:val="es-AR"/>
              </w:rPr>
              <w:t>Quemadas Totales</w:t>
            </w:r>
          </w:p>
        </w:tc>
        <w:tc>
          <w:tcPr>
            <w:tcW w:w="2708" w:type="dxa"/>
            <w:tcBorders>
              <w:top w:val="single" w:sz="4" w:space="0" w:color="auto"/>
              <w:left w:val="nil"/>
              <w:bottom w:val="single" w:sz="4" w:space="0" w:color="auto"/>
              <w:right w:val="single" w:sz="4" w:space="0" w:color="auto"/>
            </w:tcBorders>
            <w:shd w:val="clear" w:color="000000" w:fill="FFFFFF"/>
            <w:noWrap/>
            <w:vAlign w:val="bottom"/>
            <w:hideMark/>
          </w:tcPr>
          <w:p w:rsidR="00A831C5" w:rsidRPr="00A831C5" w:rsidRDefault="00A831C5" w:rsidP="009C6D4A">
            <w:pPr>
              <w:pBdr>
                <w:top w:val="nil"/>
                <w:left w:val="nil"/>
                <w:bottom w:val="nil"/>
                <w:right w:val="nil"/>
                <w:between w:val="nil"/>
              </w:pBdr>
              <w:spacing w:after="120"/>
              <w:jc w:val="center"/>
              <w:rPr>
                <w:rFonts w:ascii="Arial" w:eastAsia="Arial" w:hAnsi="Arial" w:cs="Arial"/>
                <w:b/>
                <w:bCs/>
                <w:sz w:val="22"/>
                <w:szCs w:val="22"/>
                <w:lang w:val="es-AR"/>
              </w:rPr>
            </w:pPr>
            <w:r w:rsidRPr="00A831C5">
              <w:rPr>
                <w:rFonts w:ascii="Arial" w:eastAsia="Arial" w:hAnsi="Arial" w:cs="Arial"/>
                <w:b/>
                <w:bCs/>
                <w:sz w:val="22"/>
                <w:szCs w:val="22"/>
                <w:lang w:val="es-AR"/>
              </w:rPr>
              <w:t>Quemadas Bosque Nativo</w:t>
            </w:r>
          </w:p>
        </w:tc>
      </w:tr>
      <w:tr w:rsidR="00A831C5" w:rsidRPr="00A831C5" w:rsidTr="005977C3">
        <w:trPr>
          <w:trHeight w:val="288"/>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Promedio</w:t>
            </w:r>
          </w:p>
        </w:tc>
        <w:tc>
          <w:tcPr>
            <w:tcW w:w="2253"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9C6D4A">
            <w:pPr>
              <w:pBdr>
                <w:top w:val="nil"/>
                <w:left w:val="nil"/>
                <w:bottom w:val="nil"/>
                <w:right w:val="nil"/>
                <w:between w:val="nil"/>
              </w:pBdr>
              <w:spacing w:after="120"/>
              <w:jc w:val="center"/>
              <w:rPr>
                <w:rFonts w:ascii="Arial" w:eastAsia="Arial" w:hAnsi="Arial" w:cs="Arial"/>
                <w:b/>
                <w:bCs/>
                <w:sz w:val="22"/>
                <w:szCs w:val="22"/>
                <w:lang w:val="es-AR"/>
              </w:rPr>
            </w:pPr>
            <w:r w:rsidRPr="00A831C5">
              <w:rPr>
                <w:rFonts w:ascii="Arial" w:eastAsia="Arial" w:hAnsi="Arial" w:cs="Arial"/>
                <w:b/>
                <w:bCs/>
                <w:sz w:val="22"/>
                <w:szCs w:val="22"/>
                <w:lang w:val="es-AR"/>
              </w:rPr>
              <w:t>299157</w:t>
            </w:r>
          </w:p>
        </w:tc>
        <w:tc>
          <w:tcPr>
            <w:tcW w:w="2708"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9C6D4A">
            <w:pPr>
              <w:pBdr>
                <w:top w:val="nil"/>
                <w:left w:val="nil"/>
                <w:bottom w:val="nil"/>
                <w:right w:val="nil"/>
                <w:between w:val="nil"/>
              </w:pBdr>
              <w:spacing w:after="120"/>
              <w:jc w:val="center"/>
              <w:rPr>
                <w:rFonts w:ascii="Arial" w:eastAsia="Arial" w:hAnsi="Arial" w:cs="Arial"/>
                <w:b/>
                <w:bCs/>
                <w:sz w:val="22"/>
                <w:szCs w:val="22"/>
                <w:lang w:val="es-AR"/>
              </w:rPr>
            </w:pPr>
            <w:r w:rsidRPr="00A831C5">
              <w:rPr>
                <w:rFonts w:ascii="Arial" w:eastAsia="Arial" w:hAnsi="Arial" w:cs="Arial"/>
                <w:b/>
                <w:bCs/>
                <w:sz w:val="22"/>
                <w:szCs w:val="22"/>
                <w:lang w:val="es-AR"/>
              </w:rPr>
              <w:t>145155</w:t>
            </w:r>
          </w:p>
        </w:tc>
      </w:tr>
      <w:tr w:rsidR="00A831C5" w:rsidRPr="00A831C5" w:rsidTr="005977C3">
        <w:trPr>
          <w:trHeight w:val="288"/>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Mediana</w:t>
            </w:r>
          </w:p>
        </w:tc>
        <w:tc>
          <w:tcPr>
            <w:tcW w:w="2253"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9C6D4A">
            <w:pPr>
              <w:pBdr>
                <w:top w:val="nil"/>
                <w:left w:val="nil"/>
                <w:bottom w:val="nil"/>
                <w:right w:val="nil"/>
                <w:between w:val="nil"/>
              </w:pBdr>
              <w:spacing w:after="120"/>
              <w:jc w:val="center"/>
              <w:rPr>
                <w:rFonts w:ascii="Arial" w:eastAsia="Arial" w:hAnsi="Arial" w:cs="Arial"/>
                <w:b/>
                <w:bCs/>
                <w:sz w:val="22"/>
                <w:szCs w:val="22"/>
                <w:lang w:val="es-AR"/>
              </w:rPr>
            </w:pPr>
            <w:r w:rsidRPr="00A831C5">
              <w:rPr>
                <w:rFonts w:ascii="Arial" w:eastAsia="Arial" w:hAnsi="Arial" w:cs="Arial"/>
                <w:b/>
                <w:bCs/>
                <w:sz w:val="22"/>
                <w:szCs w:val="22"/>
                <w:lang w:val="es-AR"/>
              </w:rPr>
              <w:t>131706</w:t>
            </w:r>
          </w:p>
        </w:tc>
        <w:tc>
          <w:tcPr>
            <w:tcW w:w="2708"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9C6D4A">
            <w:pPr>
              <w:pBdr>
                <w:top w:val="nil"/>
                <w:left w:val="nil"/>
                <w:bottom w:val="nil"/>
                <w:right w:val="nil"/>
                <w:between w:val="nil"/>
              </w:pBdr>
              <w:spacing w:after="120"/>
              <w:jc w:val="center"/>
              <w:rPr>
                <w:rFonts w:ascii="Arial" w:eastAsia="Arial" w:hAnsi="Arial" w:cs="Arial"/>
                <w:b/>
                <w:bCs/>
                <w:sz w:val="22"/>
                <w:szCs w:val="22"/>
                <w:lang w:val="es-AR"/>
              </w:rPr>
            </w:pPr>
            <w:r w:rsidRPr="00A831C5">
              <w:rPr>
                <w:rFonts w:ascii="Arial" w:eastAsia="Arial" w:hAnsi="Arial" w:cs="Arial"/>
                <w:b/>
                <w:bCs/>
                <w:sz w:val="22"/>
                <w:szCs w:val="22"/>
                <w:lang w:val="es-AR"/>
              </w:rPr>
              <w:t>38927</w:t>
            </w:r>
          </w:p>
        </w:tc>
      </w:tr>
      <w:tr w:rsidR="00A831C5" w:rsidRPr="00A831C5" w:rsidTr="005977C3">
        <w:trPr>
          <w:trHeight w:val="288"/>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Desvió Estándar</w:t>
            </w:r>
          </w:p>
        </w:tc>
        <w:tc>
          <w:tcPr>
            <w:tcW w:w="2253"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9C6D4A">
            <w:pPr>
              <w:pBdr>
                <w:top w:val="nil"/>
                <w:left w:val="nil"/>
                <w:bottom w:val="nil"/>
                <w:right w:val="nil"/>
                <w:between w:val="nil"/>
              </w:pBdr>
              <w:spacing w:after="120"/>
              <w:jc w:val="center"/>
              <w:rPr>
                <w:rFonts w:ascii="Arial" w:eastAsia="Arial" w:hAnsi="Arial" w:cs="Arial"/>
                <w:b/>
                <w:bCs/>
                <w:sz w:val="22"/>
                <w:szCs w:val="22"/>
                <w:lang w:val="es-AR"/>
              </w:rPr>
            </w:pPr>
            <w:r w:rsidRPr="00A831C5">
              <w:rPr>
                <w:rFonts w:ascii="Arial" w:eastAsia="Arial" w:hAnsi="Arial" w:cs="Arial"/>
                <w:b/>
                <w:bCs/>
                <w:sz w:val="22"/>
                <w:szCs w:val="22"/>
                <w:lang w:val="es-AR"/>
              </w:rPr>
              <w:t>387367</w:t>
            </w:r>
          </w:p>
        </w:tc>
        <w:tc>
          <w:tcPr>
            <w:tcW w:w="2708"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9C6D4A">
            <w:pPr>
              <w:pBdr>
                <w:top w:val="nil"/>
                <w:left w:val="nil"/>
                <w:bottom w:val="nil"/>
                <w:right w:val="nil"/>
                <w:between w:val="nil"/>
              </w:pBdr>
              <w:spacing w:after="120"/>
              <w:jc w:val="center"/>
              <w:rPr>
                <w:rFonts w:ascii="Arial" w:eastAsia="Arial" w:hAnsi="Arial" w:cs="Arial"/>
                <w:b/>
                <w:bCs/>
                <w:sz w:val="22"/>
                <w:szCs w:val="22"/>
                <w:lang w:val="es-AR"/>
              </w:rPr>
            </w:pPr>
            <w:r w:rsidRPr="00A831C5">
              <w:rPr>
                <w:rFonts w:ascii="Arial" w:eastAsia="Arial" w:hAnsi="Arial" w:cs="Arial"/>
                <w:b/>
                <w:bCs/>
                <w:sz w:val="22"/>
                <w:szCs w:val="22"/>
                <w:lang w:val="es-AR"/>
              </w:rPr>
              <w:t>235433</w:t>
            </w:r>
          </w:p>
        </w:tc>
      </w:tr>
      <w:tr w:rsidR="00A831C5" w:rsidRPr="00A831C5" w:rsidTr="005977C3">
        <w:trPr>
          <w:trHeight w:val="288"/>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A831C5" w:rsidRP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Coeficiente Variación (%)</w:t>
            </w:r>
          </w:p>
        </w:tc>
        <w:tc>
          <w:tcPr>
            <w:tcW w:w="2253"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9C6D4A">
            <w:pPr>
              <w:pBdr>
                <w:top w:val="nil"/>
                <w:left w:val="nil"/>
                <w:bottom w:val="nil"/>
                <w:right w:val="nil"/>
                <w:between w:val="nil"/>
              </w:pBdr>
              <w:spacing w:after="120"/>
              <w:jc w:val="center"/>
              <w:rPr>
                <w:rFonts w:ascii="Arial" w:eastAsia="Arial" w:hAnsi="Arial" w:cs="Arial"/>
                <w:b/>
                <w:bCs/>
                <w:sz w:val="22"/>
                <w:szCs w:val="22"/>
                <w:lang w:val="es-AR"/>
              </w:rPr>
            </w:pPr>
            <w:r w:rsidRPr="00A831C5">
              <w:rPr>
                <w:rFonts w:ascii="Arial" w:eastAsia="Arial" w:hAnsi="Arial" w:cs="Arial"/>
                <w:b/>
                <w:bCs/>
                <w:sz w:val="22"/>
                <w:szCs w:val="22"/>
                <w:lang w:val="es-AR"/>
              </w:rPr>
              <w:t>129</w:t>
            </w:r>
          </w:p>
        </w:tc>
        <w:tc>
          <w:tcPr>
            <w:tcW w:w="2708" w:type="dxa"/>
            <w:tcBorders>
              <w:top w:val="nil"/>
              <w:left w:val="nil"/>
              <w:bottom w:val="single" w:sz="4" w:space="0" w:color="auto"/>
              <w:right w:val="single" w:sz="4" w:space="0" w:color="auto"/>
            </w:tcBorders>
            <w:shd w:val="clear" w:color="auto" w:fill="auto"/>
            <w:noWrap/>
            <w:vAlign w:val="bottom"/>
            <w:hideMark/>
          </w:tcPr>
          <w:p w:rsidR="00A831C5" w:rsidRPr="00A831C5" w:rsidRDefault="00A831C5" w:rsidP="009C6D4A">
            <w:pPr>
              <w:pBdr>
                <w:top w:val="nil"/>
                <w:left w:val="nil"/>
                <w:bottom w:val="nil"/>
                <w:right w:val="nil"/>
                <w:between w:val="nil"/>
              </w:pBdr>
              <w:spacing w:after="120"/>
              <w:jc w:val="center"/>
              <w:rPr>
                <w:rFonts w:ascii="Arial" w:eastAsia="Arial" w:hAnsi="Arial" w:cs="Arial"/>
                <w:b/>
                <w:bCs/>
                <w:sz w:val="22"/>
                <w:szCs w:val="22"/>
                <w:lang w:val="es-AR"/>
              </w:rPr>
            </w:pPr>
            <w:r w:rsidRPr="00A831C5">
              <w:rPr>
                <w:rFonts w:ascii="Arial" w:eastAsia="Arial" w:hAnsi="Arial" w:cs="Arial"/>
                <w:b/>
                <w:bCs/>
                <w:sz w:val="22"/>
                <w:szCs w:val="22"/>
                <w:lang w:val="es-AR"/>
              </w:rPr>
              <w:t>162</w:t>
            </w:r>
          </w:p>
        </w:tc>
      </w:tr>
    </w:tbl>
    <w:p w:rsidR="00A831C5" w:rsidRPr="00A831C5" w:rsidRDefault="00A831C5" w:rsidP="00A831C5">
      <w:pPr>
        <w:pBdr>
          <w:top w:val="nil"/>
          <w:left w:val="nil"/>
          <w:bottom w:val="nil"/>
          <w:right w:val="nil"/>
          <w:between w:val="nil"/>
        </w:pBdr>
        <w:spacing w:after="120"/>
        <w:jc w:val="both"/>
        <w:rPr>
          <w:rFonts w:ascii="Arial" w:eastAsia="Arial" w:hAnsi="Arial" w:cs="Arial"/>
          <w:bCs/>
          <w:sz w:val="22"/>
          <w:szCs w:val="22"/>
          <w:lang w:val="es-AR"/>
        </w:rPr>
      </w:pPr>
      <w:r w:rsidRPr="00A831C5">
        <w:rPr>
          <w:rFonts w:ascii="Arial" w:eastAsia="Arial" w:hAnsi="Arial" w:cs="Arial"/>
          <w:sz w:val="22"/>
          <w:szCs w:val="22"/>
          <w:lang w:val="en-US"/>
        </w:rPr>
        <w:lastRenderedPageBreak/>
        <mc:AlternateContent>
          <mc:Choice Requires="cx">
            <w:drawing>
              <wp:inline distT="0" distB="0" distL="0" distR="0" wp14:anchorId="24F20975" wp14:editId="746199A1">
                <wp:extent cx="4953000" cy="2217420"/>
                <wp:effectExtent l="0" t="0" r="0" b="11430"/>
                <wp:docPr id="9" name="Gráfico 9"/>
                <wp:cNvGraphicFramePr/>
                <a:graphic xmlns:a="http://schemas.openxmlformats.org/drawingml/2006/main">
                  <a:graphicData uri="http://schemas.microsoft.com/office/drawing/2014/chartex">
                    <c:chart xmlns:c="http://schemas.openxmlformats.org/drawingml/2006/chart" xmlns:r="http://schemas.openxmlformats.org/officeDocument/2006/relationships" r:id="rId14"/>
                  </a:graphicData>
                </a:graphic>
              </wp:inline>
            </w:drawing>
          </mc:Choice>
          <mc:Fallback>
            <w:drawing>
              <wp:inline distT="0" distB="0" distL="0" distR="0" wp14:anchorId="24F20975" wp14:editId="746199A1">
                <wp:extent cx="4953000" cy="2217420"/>
                <wp:effectExtent l="0" t="0" r="0" b="11430"/>
                <wp:docPr id="9" name="Gráfico 9"/>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 name="Gráfico 9"/>
                        <pic:cNvPicPr>
                          <a:picLocks noGrp="1" noRot="1" noChangeAspect="1" noMove="1" noResize="1" noEditPoints="1" noAdjustHandles="1" noChangeArrowheads="1" noChangeShapeType="1"/>
                        </pic:cNvPicPr>
                      </pic:nvPicPr>
                      <pic:blipFill>
                        <a:blip r:embed="rId15"/>
                        <a:stretch>
                          <a:fillRect/>
                        </a:stretch>
                      </pic:blipFill>
                      <pic:spPr>
                        <a:xfrm>
                          <a:off x="0" y="0"/>
                          <a:ext cx="4953000" cy="2217420"/>
                        </a:xfrm>
                        <a:prstGeom prst="rect">
                          <a:avLst/>
                        </a:prstGeom>
                      </pic:spPr>
                    </pic:pic>
                  </a:graphicData>
                </a:graphic>
              </wp:inline>
            </w:drawing>
          </mc:Fallback>
        </mc:AlternateContent>
      </w:r>
    </w:p>
    <w:p w:rsidR="00A831C5" w:rsidRPr="00A831C5" w:rsidRDefault="00A831C5" w:rsidP="00A831C5">
      <w:pPr>
        <w:pBdr>
          <w:top w:val="nil"/>
          <w:left w:val="nil"/>
          <w:bottom w:val="nil"/>
          <w:right w:val="nil"/>
          <w:between w:val="nil"/>
        </w:pBdr>
        <w:spacing w:after="120"/>
        <w:jc w:val="center"/>
        <w:rPr>
          <w:rFonts w:ascii="Arial" w:eastAsia="Arial" w:hAnsi="Arial" w:cs="Arial"/>
          <w:sz w:val="18"/>
          <w:szCs w:val="18"/>
          <w:lang w:val="es-AR"/>
        </w:rPr>
      </w:pPr>
      <w:r w:rsidRPr="00A831C5">
        <w:rPr>
          <w:rFonts w:ascii="Arial" w:eastAsia="Arial" w:hAnsi="Arial" w:cs="Arial"/>
          <w:sz w:val="18"/>
          <w:szCs w:val="18"/>
          <w:lang w:val="es-AR"/>
        </w:rPr>
        <w:t xml:space="preserve">Figura N° </w:t>
      </w:r>
      <w:r w:rsidR="00E81F89">
        <w:rPr>
          <w:rFonts w:ascii="Arial" w:eastAsia="Arial" w:hAnsi="Arial" w:cs="Arial"/>
          <w:sz w:val="18"/>
          <w:szCs w:val="18"/>
          <w:lang w:val="es-AR"/>
        </w:rPr>
        <w:t>4</w:t>
      </w:r>
      <w:r w:rsidRPr="00A831C5">
        <w:rPr>
          <w:rFonts w:ascii="Arial" w:eastAsia="Arial" w:hAnsi="Arial" w:cs="Arial"/>
          <w:sz w:val="18"/>
          <w:szCs w:val="18"/>
          <w:lang w:val="es-AR"/>
        </w:rPr>
        <w:t>: Distribución de las superficies quemadas totales y de bosques en la provincia de La Pampa desde la temporada 2011-2012 a la temporada 2022-2023.</w:t>
      </w:r>
    </w:p>
    <w:p w:rsidR="00A831C5" w:rsidRPr="00A831C5" w:rsidRDefault="00543075" w:rsidP="00543075">
      <w:pPr>
        <w:pBdr>
          <w:top w:val="nil"/>
          <w:left w:val="nil"/>
          <w:bottom w:val="nil"/>
          <w:right w:val="nil"/>
          <w:between w:val="nil"/>
        </w:pBdr>
        <w:spacing w:after="120"/>
        <w:jc w:val="both"/>
        <w:rPr>
          <w:rFonts w:ascii="Arial" w:eastAsia="Arial" w:hAnsi="Arial" w:cs="Arial"/>
          <w:bCs/>
          <w:sz w:val="22"/>
          <w:szCs w:val="22"/>
          <w:lang w:val="es-AR"/>
        </w:rPr>
      </w:pPr>
      <w:r w:rsidRPr="00A831C5">
        <w:rPr>
          <w:rFonts w:ascii="Arial" w:eastAsia="Arial" w:hAnsi="Arial" w:cs="Arial"/>
          <w:bCs/>
          <w:sz w:val="22"/>
          <w:szCs w:val="22"/>
          <w:lang w:val="en-US"/>
        </w:rPr>
        <w:drawing>
          <wp:anchor distT="0" distB="0" distL="114300" distR="114300" simplePos="0" relativeHeight="251658240" behindDoc="0" locked="0" layoutInCell="1" allowOverlap="1" wp14:anchorId="19CD9E49" wp14:editId="003E04D5">
            <wp:simplePos x="0" y="0"/>
            <wp:positionH relativeFrom="margin">
              <wp:align>center</wp:align>
            </wp:positionH>
            <wp:positionV relativeFrom="paragraph">
              <wp:posOffset>653415</wp:posOffset>
            </wp:positionV>
            <wp:extent cx="4323080" cy="3743960"/>
            <wp:effectExtent l="0" t="0" r="1270" b="8890"/>
            <wp:wrapSquare wrapText="bothSides"/>
            <wp:docPr id="12" name="Imagen 12" descr="F:\Temporales cuarentena\Incendios\AQ_2011-2023\Salidas Graficas\Mapas_Areas_Quemadas_Acumuladas_temp_ver_2011-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mporales cuarentena\Incendios\AQ_2011-2023\Salidas Graficas\Mapas_Areas_Quemadas_Acumuladas_temp_ver_2011-202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23080" cy="3743960"/>
                    </a:xfrm>
                    <a:prstGeom prst="rect">
                      <a:avLst/>
                    </a:prstGeom>
                    <a:noFill/>
                    <a:ln>
                      <a:noFill/>
                    </a:ln>
                  </pic:spPr>
                </pic:pic>
              </a:graphicData>
            </a:graphic>
            <wp14:sizeRelH relativeFrom="page">
              <wp14:pctWidth>0</wp14:pctWidth>
            </wp14:sizeRelH>
            <wp14:sizeRelV relativeFrom="page">
              <wp14:pctHeight>0</wp14:pctHeight>
            </wp14:sizeRelV>
          </wp:anchor>
        </w:drawing>
      </w:r>
      <w:r w:rsidR="00A831C5" w:rsidRPr="00A831C5">
        <w:rPr>
          <w:rFonts w:ascii="Arial" w:eastAsia="Arial" w:hAnsi="Arial" w:cs="Arial"/>
          <w:bCs/>
          <w:sz w:val="22"/>
          <w:szCs w:val="22"/>
          <w:lang w:val="es-AR"/>
        </w:rPr>
        <w:t xml:space="preserve">Las áreas quemadas en la provincia de La Pampa para todo el periodo analizado se pueden apreciar en la Figura Nº </w:t>
      </w:r>
      <w:r w:rsidR="00E81F89">
        <w:rPr>
          <w:rFonts w:ascii="Arial" w:eastAsia="Arial" w:hAnsi="Arial" w:cs="Arial"/>
          <w:bCs/>
          <w:sz w:val="22"/>
          <w:szCs w:val="22"/>
          <w:lang w:val="es-AR"/>
        </w:rPr>
        <w:t>5</w:t>
      </w:r>
      <w:r w:rsidR="00A831C5" w:rsidRPr="00A831C5">
        <w:rPr>
          <w:rFonts w:ascii="Arial" w:eastAsia="Arial" w:hAnsi="Arial" w:cs="Arial"/>
          <w:bCs/>
          <w:sz w:val="22"/>
          <w:szCs w:val="22"/>
          <w:lang w:val="es-AR"/>
        </w:rPr>
        <w:t>. (Ver Apéndice I para observar áreas incendiadas por temporada).</w:t>
      </w:r>
    </w:p>
    <w:p w:rsidR="00A831C5" w:rsidRPr="00A831C5" w:rsidRDefault="00A831C5" w:rsidP="00A831C5">
      <w:pPr>
        <w:pBdr>
          <w:top w:val="nil"/>
          <w:left w:val="nil"/>
          <w:bottom w:val="nil"/>
          <w:right w:val="nil"/>
          <w:between w:val="nil"/>
        </w:pBdr>
        <w:spacing w:after="120"/>
        <w:jc w:val="center"/>
        <w:rPr>
          <w:rFonts w:ascii="Arial" w:eastAsia="Arial" w:hAnsi="Arial" w:cs="Arial"/>
          <w:sz w:val="18"/>
          <w:szCs w:val="18"/>
          <w:lang w:val="es-AR"/>
        </w:rPr>
      </w:pPr>
      <w:r w:rsidRPr="00A831C5">
        <w:rPr>
          <w:rFonts w:ascii="Arial" w:eastAsia="Arial" w:hAnsi="Arial" w:cs="Arial"/>
          <w:sz w:val="18"/>
          <w:szCs w:val="18"/>
          <w:lang w:val="es-AR"/>
        </w:rPr>
        <w:lastRenderedPageBreak/>
        <w:t xml:space="preserve">Figura N° </w:t>
      </w:r>
      <w:r w:rsidR="00E81F89">
        <w:rPr>
          <w:rFonts w:ascii="Arial" w:eastAsia="Arial" w:hAnsi="Arial" w:cs="Arial"/>
          <w:sz w:val="18"/>
          <w:szCs w:val="18"/>
          <w:lang w:val="es-AR"/>
        </w:rPr>
        <w:t>5</w:t>
      </w:r>
      <w:r w:rsidRPr="00A831C5">
        <w:rPr>
          <w:rFonts w:ascii="Arial" w:eastAsia="Arial" w:hAnsi="Arial" w:cs="Arial"/>
          <w:sz w:val="18"/>
          <w:szCs w:val="18"/>
          <w:lang w:val="es-AR"/>
        </w:rPr>
        <w:t>: Mapa de la superficie (Hectáreas) quemada acumuladas en la provincia de La Pampa desde la temporada 2011-2012 a la temporada 2022-2023.</w:t>
      </w:r>
    </w:p>
    <w:p w:rsidR="00543075" w:rsidRDefault="00543075" w:rsidP="00A831C5">
      <w:pPr>
        <w:pBdr>
          <w:top w:val="nil"/>
          <w:left w:val="nil"/>
          <w:bottom w:val="nil"/>
          <w:right w:val="nil"/>
          <w:between w:val="nil"/>
        </w:pBdr>
        <w:spacing w:after="120"/>
        <w:jc w:val="both"/>
        <w:rPr>
          <w:rFonts w:ascii="Arial" w:eastAsia="Arial" w:hAnsi="Arial" w:cs="Arial"/>
          <w:b/>
          <w:bCs/>
          <w:sz w:val="22"/>
          <w:szCs w:val="22"/>
          <w:lang w:val="es-AR"/>
        </w:rPr>
      </w:pPr>
    </w:p>
    <w:p w:rsidR="00A831C5" w:rsidRDefault="00A831C5" w:rsidP="00A831C5">
      <w:pPr>
        <w:pBdr>
          <w:top w:val="nil"/>
          <w:left w:val="nil"/>
          <w:bottom w:val="nil"/>
          <w:right w:val="nil"/>
          <w:between w:val="nil"/>
        </w:pBdr>
        <w:spacing w:after="120"/>
        <w:jc w:val="both"/>
        <w:rPr>
          <w:rFonts w:ascii="Arial" w:eastAsia="Arial" w:hAnsi="Arial" w:cs="Arial"/>
          <w:b/>
          <w:bCs/>
          <w:sz w:val="22"/>
          <w:szCs w:val="22"/>
          <w:lang w:val="es-AR"/>
        </w:rPr>
      </w:pPr>
      <w:r w:rsidRPr="00A831C5">
        <w:rPr>
          <w:rFonts w:ascii="Arial" w:eastAsia="Arial" w:hAnsi="Arial" w:cs="Arial"/>
          <w:b/>
          <w:bCs/>
          <w:sz w:val="22"/>
          <w:szCs w:val="22"/>
          <w:lang w:val="es-AR"/>
        </w:rPr>
        <w:t>Recurrencia del fuego</w:t>
      </w:r>
    </w:p>
    <w:p w:rsidR="00A831C5" w:rsidRPr="00A831C5" w:rsidRDefault="00A831C5" w:rsidP="00A831C5">
      <w:pPr>
        <w:pBdr>
          <w:top w:val="nil"/>
          <w:left w:val="nil"/>
          <w:bottom w:val="nil"/>
          <w:right w:val="nil"/>
          <w:between w:val="nil"/>
        </w:pBdr>
        <w:spacing w:after="120"/>
        <w:jc w:val="both"/>
        <w:rPr>
          <w:rFonts w:ascii="Arial" w:eastAsia="Arial" w:hAnsi="Arial" w:cs="Arial"/>
          <w:bCs/>
          <w:sz w:val="22"/>
          <w:szCs w:val="22"/>
          <w:lang w:val="es-AR"/>
        </w:rPr>
      </w:pPr>
      <w:r w:rsidRPr="00A831C5">
        <w:rPr>
          <w:rFonts w:ascii="Arial" w:eastAsia="Arial" w:hAnsi="Arial" w:cs="Arial"/>
          <w:bCs/>
          <w:sz w:val="22"/>
          <w:szCs w:val="22"/>
          <w:lang w:val="es-AR"/>
        </w:rPr>
        <w:t>La superficie efectivamente quemada tanto en el total de la provincia como en las áreas de bosques, es ligeramente diferente y menor al total acumulado, puesto que existen áreas que se han quemado en más de 1 temporada alta de incendios.</w:t>
      </w:r>
    </w:p>
    <w:p w:rsidR="00A831C5" w:rsidRPr="00A831C5" w:rsidRDefault="00A831C5" w:rsidP="00A831C5">
      <w:pPr>
        <w:pBdr>
          <w:top w:val="nil"/>
          <w:left w:val="nil"/>
          <w:bottom w:val="nil"/>
          <w:right w:val="nil"/>
          <w:between w:val="nil"/>
        </w:pBdr>
        <w:spacing w:after="120"/>
        <w:jc w:val="both"/>
        <w:rPr>
          <w:rFonts w:ascii="Arial" w:eastAsia="Arial" w:hAnsi="Arial" w:cs="Arial"/>
          <w:bCs/>
          <w:sz w:val="22"/>
          <w:szCs w:val="22"/>
          <w:lang w:val="es-AR"/>
        </w:rPr>
      </w:pPr>
      <w:r w:rsidRPr="00A831C5">
        <w:rPr>
          <w:rFonts w:ascii="Arial" w:eastAsia="Arial" w:hAnsi="Arial" w:cs="Arial"/>
          <w:bCs/>
          <w:sz w:val="22"/>
          <w:szCs w:val="22"/>
          <w:lang w:val="es-AR"/>
        </w:rPr>
        <w:t>Así, las áreas efectivamente quemadas teniendo en cuenta la superposición entre temporadas, es de aproximadamente 2889878 hectáreas en el total provincial, con casi idéntica superficie de bosques (1467021 ha) y de otras coberturas (1422857 ha).</w:t>
      </w:r>
    </w:p>
    <w:p w:rsidR="00A831C5" w:rsidRPr="00A831C5" w:rsidRDefault="00A831C5" w:rsidP="00A831C5">
      <w:pPr>
        <w:pBdr>
          <w:top w:val="nil"/>
          <w:left w:val="nil"/>
          <w:bottom w:val="nil"/>
          <w:right w:val="nil"/>
          <w:between w:val="nil"/>
        </w:pBdr>
        <w:spacing w:after="120"/>
        <w:jc w:val="both"/>
        <w:rPr>
          <w:rFonts w:ascii="Arial" w:eastAsia="Arial" w:hAnsi="Arial" w:cs="Arial"/>
          <w:bCs/>
          <w:sz w:val="22"/>
          <w:szCs w:val="22"/>
          <w:lang w:val="es-AR"/>
        </w:rPr>
      </w:pPr>
      <w:r w:rsidRPr="00A831C5">
        <w:rPr>
          <w:rFonts w:ascii="Arial" w:eastAsia="Arial" w:hAnsi="Arial" w:cs="Arial"/>
          <w:bCs/>
          <w:sz w:val="22"/>
          <w:szCs w:val="22"/>
          <w:lang w:val="es-AR"/>
        </w:rPr>
        <w:t xml:space="preserve">En el total provincial hubo áreas que fueron afectadas con recurrencia de fuego de hasta 5 temporadas. Vale aclarar que áreas de alta recurrencia representan un porcentaje pequeño de la superficie total, pero que en valores absolutos pueden llegar a ser extensiones apreciables. Por ejemplo, las áreas de bosques que presentaron recurrencia de fuego en 3 de las 12 temporadas analizadas representan sólo 1,46 % de las áreas de bosques quemadas, lo que equivale en términos absolutos a aproximadamente 21 mil hectáreas. </w:t>
      </w:r>
    </w:p>
    <w:p w:rsidR="00A831C5" w:rsidRDefault="00A831C5" w:rsidP="00A831C5">
      <w:pPr>
        <w:pBdr>
          <w:top w:val="nil"/>
          <w:left w:val="nil"/>
          <w:bottom w:val="nil"/>
          <w:right w:val="nil"/>
          <w:between w:val="nil"/>
        </w:pBdr>
        <w:spacing w:after="120"/>
        <w:jc w:val="both"/>
        <w:rPr>
          <w:rFonts w:ascii="Arial" w:eastAsia="Arial" w:hAnsi="Arial" w:cs="Arial"/>
          <w:bCs/>
          <w:sz w:val="22"/>
          <w:szCs w:val="22"/>
          <w:lang w:val="es-AR"/>
        </w:rPr>
      </w:pPr>
      <w:r w:rsidRPr="00A831C5">
        <w:rPr>
          <w:rFonts w:ascii="Arial" w:eastAsia="Arial" w:hAnsi="Arial" w:cs="Arial"/>
          <w:bCs/>
          <w:sz w:val="22"/>
          <w:szCs w:val="22"/>
          <w:lang w:val="es-AR"/>
        </w:rPr>
        <w:t>Un detalle de la recurrencia de áreas quemadas puede encontrarse en la</w:t>
      </w:r>
      <w:r w:rsidR="00E81F89">
        <w:rPr>
          <w:rFonts w:ascii="Arial" w:eastAsia="Arial" w:hAnsi="Arial" w:cs="Arial"/>
          <w:bCs/>
          <w:sz w:val="22"/>
          <w:szCs w:val="22"/>
          <w:lang w:val="es-AR"/>
        </w:rPr>
        <w:t xml:space="preserve"> Tabla Nº 4 y</w:t>
      </w:r>
      <w:r w:rsidRPr="00A831C5">
        <w:rPr>
          <w:rFonts w:ascii="Arial" w:eastAsia="Arial" w:hAnsi="Arial" w:cs="Arial"/>
          <w:bCs/>
          <w:sz w:val="22"/>
          <w:szCs w:val="22"/>
          <w:lang w:val="es-AR"/>
        </w:rPr>
        <w:t xml:space="preserve"> </w:t>
      </w:r>
      <w:r w:rsidR="00E81F89">
        <w:rPr>
          <w:rFonts w:ascii="Arial" w:eastAsia="Arial" w:hAnsi="Arial" w:cs="Arial"/>
          <w:bCs/>
          <w:sz w:val="22"/>
          <w:szCs w:val="22"/>
          <w:lang w:val="es-AR"/>
        </w:rPr>
        <w:t>Figura</w:t>
      </w:r>
      <w:r w:rsidRPr="00A831C5">
        <w:rPr>
          <w:rFonts w:ascii="Arial" w:eastAsia="Arial" w:hAnsi="Arial" w:cs="Arial"/>
          <w:bCs/>
          <w:sz w:val="22"/>
          <w:szCs w:val="22"/>
          <w:lang w:val="es-AR"/>
        </w:rPr>
        <w:t xml:space="preserve"> Nº </w:t>
      </w:r>
      <w:r w:rsidR="00E81F89">
        <w:rPr>
          <w:rFonts w:ascii="Arial" w:eastAsia="Arial" w:hAnsi="Arial" w:cs="Arial"/>
          <w:bCs/>
          <w:sz w:val="22"/>
          <w:szCs w:val="22"/>
          <w:lang w:val="es-AR"/>
        </w:rPr>
        <w:t>6</w:t>
      </w:r>
      <w:r w:rsidRPr="00A831C5">
        <w:rPr>
          <w:rFonts w:ascii="Arial" w:eastAsia="Arial" w:hAnsi="Arial" w:cs="Arial"/>
          <w:bCs/>
          <w:sz w:val="22"/>
          <w:szCs w:val="22"/>
          <w:lang w:val="es-AR"/>
        </w:rPr>
        <w:t>.</w:t>
      </w:r>
    </w:p>
    <w:p w:rsidR="00E81F89" w:rsidRDefault="00E81F89" w:rsidP="00A831C5">
      <w:pPr>
        <w:pBdr>
          <w:top w:val="nil"/>
          <w:left w:val="nil"/>
          <w:bottom w:val="nil"/>
          <w:right w:val="nil"/>
          <w:between w:val="nil"/>
        </w:pBdr>
        <w:spacing w:after="120"/>
        <w:jc w:val="both"/>
        <w:rPr>
          <w:rFonts w:ascii="Arial" w:eastAsia="Arial" w:hAnsi="Arial" w:cs="Arial"/>
          <w:bCs/>
          <w:sz w:val="22"/>
          <w:szCs w:val="22"/>
          <w:lang w:val="es-AR"/>
        </w:rPr>
      </w:pPr>
    </w:p>
    <w:p w:rsidR="00E81F89" w:rsidRPr="00A831C5" w:rsidRDefault="00E81F89" w:rsidP="00A831C5">
      <w:pPr>
        <w:pBdr>
          <w:top w:val="nil"/>
          <w:left w:val="nil"/>
          <w:bottom w:val="nil"/>
          <w:right w:val="nil"/>
          <w:between w:val="nil"/>
        </w:pBdr>
        <w:spacing w:after="120"/>
        <w:jc w:val="both"/>
        <w:rPr>
          <w:rFonts w:ascii="Arial" w:eastAsia="Arial" w:hAnsi="Arial" w:cs="Arial"/>
          <w:bCs/>
          <w:sz w:val="22"/>
          <w:szCs w:val="22"/>
          <w:lang w:val="es-AR"/>
        </w:rPr>
      </w:pPr>
      <w:r>
        <w:rPr>
          <w:rFonts w:ascii="Arial" w:eastAsia="Arial" w:hAnsi="Arial" w:cs="Arial"/>
          <w:sz w:val="18"/>
          <w:szCs w:val="18"/>
          <w:lang w:val="es-AR"/>
        </w:rPr>
        <w:t>Tabla</w:t>
      </w:r>
      <w:r w:rsidRPr="00A831C5">
        <w:rPr>
          <w:rFonts w:ascii="Arial" w:eastAsia="Arial" w:hAnsi="Arial" w:cs="Arial"/>
          <w:sz w:val="18"/>
          <w:szCs w:val="18"/>
          <w:lang w:val="es-AR"/>
        </w:rPr>
        <w:t xml:space="preserve"> N° </w:t>
      </w:r>
      <w:r>
        <w:rPr>
          <w:rFonts w:ascii="Arial" w:eastAsia="Arial" w:hAnsi="Arial" w:cs="Arial"/>
          <w:sz w:val="18"/>
          <w:szCs w:val="18"/>
          <w:lang w:val="es-AR"/>
        </w:rPr>
        <w:t>4</w:t>
      </w:r>
      <w:r w:rsidRPr="00A831C5">
        <w:rPr>
          <w:rFonts w:ascii="Arial" w:eastAsia="Arial" w:hAnsi="Arial" w:cs="Arial"/>
          <w:sz w:val="18"/>
          <w:szCs w:val="18"/>
          <w:lang w:val="es-AR"/>
        </w:rPr>
        <w:t xml:space="preserve">: </w:t>
      </w:r>
      <w:r>
        <w:rPr>
          <w:rFonts w:ascii="Arial" w:eastAsia="Arial" w:hAnsi="Arial" w:cs="Arial"/>
          <w:sz w:val="18"/>
          <w:szCs w:val="18"/>
          <w:lang w:val="es-AR"/>
        </w:rPr>
        <w:t>Recurrencia del fuego:</w:t>
      </w:r>
      <w:r w:rsidRPr="00A831C5">
        <w:rPr>
          <w:rFonts w:ascii="Arial" w:eastAsia="Arial" w:hAnsi="Arial" w:cs="Arial"/>
          <w:sz w:val="18"/>
          <w:szCs w:val="18"/>
          <w:lang w:val="es-AR"/>
        </w:rPr>
        <w:t xml:space="preserve"> </w:t>
      </w:r>
      <w:r>
        <w:rPr>
          <w:rFonts w:ascii="Arial" w:eastAsia="Arial" w:hAnsi="Arial" w:cs="Arial"/>
          <w:sz w:val="18"/>
          <w:szCs w:val="18"/>
          <w:lang w:val="es-AR"/>
        </w:rPr>
        <w:t>N</w:t>
      </w:r>
      <w:r w:rsidRPr="00A831C5">
        <w:rPr>
          <w:rFonts w:ascii="Arial" w:eastAsia="Arial" w:hAnsi="Arial" w:cs="Arial"/>
          <w:sz w:val="18"/>
          <w:szCs w:val="18"/>
          <w:lang w:val="es-AR"/>
        </w:rPr>
        <w:t>úmero de veces (temporadas) en el que el fuego afecto a un mismo lugar junto con el detalle de la superficie y la proporción de área que presenta tal condición. La tabla de la izquierda hace referencia a las superficies de bosques quemadas efectivamente desde la temporada 2011-2012 a la temporada 2022-2023 mientras que la tabla de la derecha representa las áreas quemadas pertenecientes a otras coberturas del suelo.</w:t>
      </w:r>
    </w:p>
    <w:p w:rsidR="00A831C5" w:rsidRPr="00A831C5" w:rsidRDefault="00A831C5" w:rsidP="00A831C5">
      <w:pPr>
        <w:pBdr>
          <w:top w:val="nil"/>
          <w:left w:val="nil"/>
          <w:bottom w:val="nil"/>
          <w:right w:val="nil"/>
          <w:between w:val="nil"/>
        </w:pBdr>
        <w:spacing w:after="120"/>
        <w:jc w:val="both"/>
        <w:rPr>
          <w:rFonts w:ascii="Arial" w:eastAsia="Arial" w:hAnsi="Arial" w:cs="Arial"/>
          <w:bCs/>
          <w:sz w:val="22"/>
          <w:szCs w:val="22"/>
          <w:lang w:val="es-AR"/>
        </w:rPr>
      </w:pPr>
      <w:r w:rsidRPr="00A831C5">
        <w:rPr>
          <w:rFonts w:ascii="Arial" w:eastAsia="Arial" w:hAnsi="Arial" w:cs="Arial"/>
          <w:sz w:val="22"/>
          <w:szCs w:val="22"/>
          <w:lang w:val="en-US"/>
        </w:rPr>
        <w:drawing>
          <wp:inline distT="0" distB="0" distL="0" distR="0" wp14:anchorId="18CFCB16" wp14:editId="76AECAE7">
            <wp:extent cx="5059680" cy="1504042"/>
            <wp:effectExtent l="0" t="0" r="762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76383" cy="1509007"/>
                    </a:xfrm>
                    <a:prstGeom prst="rect">
                      <a:avLst/>
                    </a:prstGeom>
                    <a:noFill/>
                    <a:ln>
                      <a:noFill/>
                    </a:ln>
                  </pic:spPr>
                </pic:pic>
              </a:graphicData>
            </a:graphic>
          </wp:inline>
        </w:drawing>
      </w:r>
    </w:p>
    <w:p w:rsidR="00A831C5" w:rsidRPr="00A831C5" w:rsidRDefault="00A831C5" w:rsidP="009C6D4A">
      <w:pPr>
        <w:pBdr>
          <w:top w:val="nil"/>
          <w:left w:val="nil"/>
          <w:bottom w:val="nil"/>
          <w:right w:val="nil"/>
          <w:between w:val="nil"/>
        </w:pBdr>
        <w:spacing w:after="120"/>
        <w:jc w:val="center"/>
        <w:rPr>
          <w:rFonts w:ascii="Arial" w:eastAsia="Arial" w:hAnsi="Arial" w:cs="Arial"/>
          <w:sz w:val="22"/>
          <w:szCs w:val="22"/>
          <w:lang w:val="es-AR"/>
        </w:rPr>
      </w:pPr>
      <w:r w:rsidRPr="00A831C5">
        <w:rPr>
          <w:rFonts w:ascii="Arial" w:eastAsia="Arial" w:hAnsi="Arial" w:cs="Arial"/>
          <w:sz w:val="22"/>
          <w:szCs w:val="22"/>
          <w:lang w:val="en-US"/>
        </w:rPr>
        <w:lastRenderedPageBreak/>
        <w:drawing>
          <wp:inline distT="0" distB="0" distL="0" distR="0" wp14:anchorId="2AAAFDCD" wp14:editId="7CD75AF0">
            <wp:extent cx="5013960" cy="4342132"/>
            <wp:effectExtent l="0" t="0" r="0" b="1270"/>
            <wp:docPr id="13" name="Imagen 13" descr="F:\Temporales cuarentena\Incendios\AQ_2011-2023\Salidas Graficas\Mapas Recurrencia Incendios_temp_ver_2011-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Temporales cuarentena\Incendios\AQ_2011-2023\Salidas Graficas\Mapas Recurrencia Incendios_temp_ver_2011-202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8335" cy="4345921"/>
                    </a:xfrm>
                    <a:prstGeom prst="rect">
                      <a:avLst/>
                    </a:prstGeom>
                    <a:noFill/>
                    <a:ln>
                      <a:noFill/>
                    </a:ln>
                  </pic:spPr>
                </pic:pic>
              </a:graphicData>
            </a:graphic>
          </wp:inline>
        </w:drawing>
      </w:r>
    </w:p>
    <w:p w:rsidR="00A831C5" w:rsidRPr="00A831C5" w:rsidRDefault="00A831C5" w:rsidP="00A831C5">
      <w:pPr>
        <w:pBdr>
          <w:top w:val="nil"/>
          <w:left w:val="nil"/>
          <w:bottom w:val="nil"/>
          <w:right w:val="nil"/>
          <w:between w:val="nil"/>
        </w:pBdr>
        <w:spacing w:after="120"/>
        <w:jc w:val="center"/>
        <w:rPr>
          <w:rFonts w:ascii="Arial" w:eastAsia="Arial" w:hAnsi="Arial" w:cs="Arial"/>
          <w:sz w:val="18"/>
          <w:szCs w:val="18"/>
          <w:lang w:val="es-AR"/>
        </w:rPr>
      </w:pPr>
      <w:r w:rsidRPr="00A831C5">
        <w:rPr>
          <w:rFonts w:ascii="Arial" w:eastAsia="Arial" w:hAnsi="Arial" w:cs="Arial"/>
          <w:sz w:val="18"/>
          <w:szCs w:val="18"/>
          <w:lang w:val="es-AR"/>
        </w:rPr>
        <w:t xml:space="preserve">Figura N° </w:t>
      </w:r>
      <w:r w:rsidR="00E81F89">
        <w:rPr>
          <w:rFonts w:ascii="Arial" w:eastAsia="Arial" w:hAnsi="Arial" w:cs="Arial"/>
          <w:sz w:val="18"/>
          <w:szCs w:val="18"/>
          <w:lang w:val="es-AR"/>
        </w:rPr>
        <w:t>6</w:t>
      </w:r>
      <w:r w:rsidRPr="00A831C5">
        <w:rPr>
          <w:rFonts w:ascii="Arial" w:eastAsia="Arial" w:hAnsi="Arial" w:cs="Arial"/>
          <w:sz w:val="18"/>
          <w:szCs w:val="18"/>
          <w:lang w:val="es-AR"/>
        </w:rPr>
        <w:t>: Mapa de recurrencias de áreas quemadas en la provincia de La Pampa desde la temporada 2011-2012 a la temporada 2022-2023.</w:t>
      </w:r>
    </w:p>
    <w:p w:rsidR="000D001B" w:rsidRPr="00A831C5" w:rsidRDefault="000D001B">
      <w:pPr>
        <w:pBdr>
          <w:top w:val="nil"/>
          <w:left w:val="nil"/>
          <w:bottom w:val="nil"/>
          <w:right w:val="nil"/>
          <w:between w:val="nil"/>
        </w:pBdr>
        <w:spacing w:after="120"/>
        <w:jc w:val="both"/>
        <w:rPr>
          <w:rFonts w:ascii="Arial" w:eastAsia="Arial" w:hAnsi="Arial" w:cs="Arial"/>
          <w:sz w:val="22"/>
          <w:szCs w:val="22"/>
          <w:lang w:val="es-AR"/>
        </w:rPr>
      </w:pPr>
    </w:p>
    <w:p w:rsidR="009C6D4A" w:rsidRDefault="00CA4E37">
      <w:pPr>
        <w:tabs>
          <w:tab w:val="left" w:pos="550"/>
        </w:tabs>
        <w:spacing w:after="120"/>
        <w:jc w:val="both"/>
        <w:rPr>
          <w:rFonts w:ascii="Arial" w:eastAsia="Arial" w:hAnsi="Arial" w:cs="Arial"/>
          <w:sz w:val="22"/>
          <w:szCs w:val="22"/>
        </w:rPr>
      </w:pPr>
      <w:r>
        <w:rPr>
          <w:rFonts w:ascii="Arial" w:eastAsia="Arial" w:hAnsi="Arial" w:cs="Arial"/>
          <w:b/>
          <w:sz w:val="22"/>
          <w:szCs w:val="22"/>
        </w:rPr>
        <w:t xml:space="preserve">4. </w:t>
      </w:r>
      <w:r w:rsidR="009C6D4A">
        <w:rPr>
          <w:rFonts w:ascii="Arial" w:eastAsia="Arial" w:hAnsi="Arial" w:cs="Arial"/>
          <w:b/>
          <w:sz w:val="22"/>
          <w:szCs w:val="22"/>
        </w:rPr>
        <w:t>CONCLUSIONES</w:t>
      </w:r>
    </w:p>
    <w:p w:rsidR="009C6D4A" w:rsidRPr="009C6D4A" w:rsidRDefault="009C6D4A" w:rsidP="009C6D4A">
      <w:pPr>
        <w:pBdr>
          <w:top w:val="nil"/>
          <w:left w:val="nil"/>
          <w:bottom w:val="nil"/>
          <w:right w:val="nil"/>
          <w:between w:val="nil"/>
        </w:pBdr>
        <w:spacing w:after="120"/>
        <w:jc w:val="both"/>
        <w:rPr>
          <w:rFonts w:ascii="Arial" w:eastAsia="Arial" w:hAnsi="Arial" w:cs="Arial"/>
          <w:sz w:val="22"/>
          <w:szCs w:val="22"/>
          <w:lang w:val="es-AR"/>
        </w:rPr>
      </w:pPr>
      <w:r w:rsidRPr="009C6D4A">
        <w:rPr>
          <w:rFonts w:ascii="Arial" w:eastAsia="Arial" w:hAnsi="Arial" w:cs="Arial"/>
          <w:sz w:val="22"/>
          <w:szCs w:val="22"/>
          <w:lang w:val="es-AR"/>
        </w:rPr>
        <w:t>Las superficies incendiadas a lo largo de 12 temporadas resultan muy significativas, tanto en términos absolutos como relativos, cuando se la compara con la superficie provincial o inclusive cuando se las compara con la superficie total de bosque provincial.</w:t>
      </w:r>
    </w:p>
    <w:p w:rsidR="009C6D4A" w:rsidRPr="009C6D4A" w:rsidRDefault="009C6D4A" w:rsidP="009C6D4A">
      <w:pPr>
        <w:pBdr>
          <w:top w:val="nil"/>
          <w:left w:val="nil"/>
          <w:bottom w:val="nil"/>
          <w:right w:val="nil"/>
          <w:between w:val="nil"/>
        </w:pBdr>
        <w:spacing w:after="120"/>
        <w:jc w:val="both"/>
        <w:rPr>
          <w:rFonts w:ascii="Arial" w:eastAsia="Arial" w:hAnsi="Arial" w:cs="Arial"/>
          <w:sz w:val="22"/>
          <w:szCs w:val="22"/>
          <w:lang w:val="es-AR"/>
        </w:rPr>
      </w:pPr>
      <w:r w:rsidRPr="009C6D4A">
        <w:rPr>
          <w:rFonts w:ascii="Arial" w:eastAsia="Arial" w:hAnsi="Arial" w:cs="Arial"/>
          <w:sz w:val="22"/>
          <w:szCs w:val="22"/>
          <w:lang w:val="es-AR"/>
        </w:rPr>
        <w:t xml:space="preserve">Los valores medios anuales de superficies quemadas resultan altos, pero son poco representativos de lo acontecido en el periodo analizado puesto que la mayoría de las temporadas de incendios alcanzaron valores de superficie por debajo de estos. </w:t>
      </w:r>
    </w:p>
    <w:p w:rsidR="009C6D4A" w:rsidRPr="009C6D4A" w:rsidRDefault="009C6D4A" w:rsidP="009C6D4A">
      <w:pPr>
        <w:pBdr>
          <w:top w:val="nil"/>
          <w:left w:val="nil"/>
          <w:bottom w:val="nil"/>
          <w:right w:val="nil"/>
          <w:between w:val="nil"/>
        </w:pBdr>
        <w:spacing w:after="120"/>
        <w:jc w:val="both"/>
        <w:rPr>
          <w:rFonts w:ascii="Arial" w:eastAsia="Arial" w:hAnsi="Arial" w:cs="Arial"/>
          <w:sz w:val="22"/>
          <w:szCs w:val="22"/>
          <w:lang w:val="es-AR"/>
        </w:rPr>
      </w:pPr>
      <w:r w:rsidRPr="009C6D4A">
        <w:rPr>
          <w:rFonts w:ascii="Arial" w:eastAsia="Arial" w:hAnsi="Arial" w:cs="Arial"/>
          <w:sz w:val="22"/>
          <w:szCs w:val="22"/>
          <w:lang w:val="es-AR"/>
        </w:rPr>
        <w:t xml:space="preserve">Las temporadas de incendios 2016-2017 y 2017-2018 representan casi el 60 % de la superficie total quemada, y aproximadamente el 70% de la superficie de </w:t>
      </w:r>
      <w:r w:rsidRPr="009C6D4A">
        <w:rPr>
          <w:rFonts w:ascii="Arial" w:eastAsia="Arial" w:hAnsi="Arial" w:cs="Arial"/>
          <w:sz w:val="22"/>
          <w:szCs w:val="22"/>
          <w:lang w:val="es-AR"/>
        </w:rPr>
        <w:lastRenderedPageBreak/>
        <w:t>bosque quemada dentro del periodo analizado. Aunque estos valores resultan excepcionales para el periodo analizado, pueden formar parte de una serie de eventos recurrentes en una serie más larga de tiempo. Cabe resaltar que en la temporada de los años 2000 y 2001 también ocurrieron grandes incendios, llegando a alcanzar casi los 3 millones de hectáreas.</w:t>
      </w:r>
    </w:p>
    <w:p w:rsidR="009C6D4A" w:rsidRPr="009C6D4A" w:rsidRDefault="009C6D4A" w:rsidP="009C6D4A">
      <w:pPr>
        <w:pBdr>
          <w:top w:val="nil"/>
          <w:left w:val="nil"/>
          <w:bottom w:val="nil"/>
          <w:right w:val="nil"/>
          <w:between w:val="nil"/>
        </w:pBdr>
        <w:spacing w:after="120"/>
        <w:jc w:val="both"/>
        <w:rPr>
          <w:rFonts w:ascii="Arial" w:eastAsia="Arial" w:hAnsi="Arial" w:cs="Arial"/>
          <w:sz w:val="22"/>
          <w:szCs w:val="22"/>
          <w:lang w:val="es-AR"/>
        </w:rPr>
      </w:pPr>
      <w:r w:rsidRPr="009C6D4A">
        <w:rPr>
          <w:rFonts w:ascii="Arial" w:eastAsia="Arial" w:hAnsi="Arial" w:cs="Arial"/>
          <w:sz w:val="22"/>
          <w:szCs w:val="22"/>
          <w:lang w:val="es-AR"/>
        </w:rPr>
        <w:t>Espacialmente las áreas quemadas ocurren en la región central de la provincia siguiendo un patrón similar a la ecorregión del espinal y sus áreas ecotonales con el monte. La mayor recurrencia de incendios ocurre fuera de áreas de bosques nativos en el centro-oeste provincial, en coberturas correspondientes a pastizal psamofilo. Dentro de las áreas de bosques, la mayor recurrencia se da en el sureste provincial.</w:t>
      </w:r>
    </w:p>
    <w:p w:rsidR="000D001B" w:rsidRDefault="000D001B">
      <w:pPr>
        <w:spacing w:after="120"/>
        <w:jc w:val="center"/>
        <w:rPr>
          <w:rFonts w:ascii="Arial" w:eastAsia="Arial" w:hAnsi="Arial" w:cs="Arial"/>
          <w:sz w:val="22"/>
          <w:szCs w:val="22"/>
        </w:rPr>
      </w:pPr>
    </w:p>
    <w:p w:rsidR="000D001B" w:rsidRPr="009C6D4A" w:rsidRDefault="009C6D4A">
      <w:pPr>
        <w:tabs>
          <w:tab w:val="left" w:pos="550"/>
        </w:tabs>
        <w:spacing w:after="120"/>
        <w:jc w:val="both"/>
        <w:rPr>
          <w:rFonts w:ascii="Arial" w:eastAsia="Arial" w:hAnsi="Arial" w:cs="Arial"/>
          <w:sz w:val="22"/>
          <w:szCs w:val="22"/>
          <w:lang w:val="es-AR"/>
        </w:rPr>
      </w:pPr>
      <w:r>
        <w:rPr>
          <w:rFonts w:ascii="Arial" w:eastAsia="Arial" w:hAnsi="Arial" w:cs="Arial"/>
          <w:b/>
          <w:sz w:val="22"/>
          <w:szCs w:val="22"/>
        </w:rPr>
        <w:t xml:space="preserve">5. </w:t>
      </w:r>
      <w:r w:rsidRPr="009C6D4A">
        <w:rPr>
          <w:rFonts w:ascii="Arial" w:eastAsia="Arial" w:hAnsi="Arial" w:cs="Arial"/>
          <w:b/>
          <w:sz w:val="22"/>
          <w:szCs w:val="22"/>
          <w:lang w:val="es-AR"/>
        </w:rPr>
        <w:t>DISPONIBILIDAD DE LA INFORMACIÓN Y POSIBLES USOS</w:t>
      </w:r>
    </w:p>
    <w:p w:rsidR="009C6D4A" w:rsidRPr="009C6D4A" w:rsidRDefault="009C6D4A" w:rsidP="009C6D4A">
      <w:pPr>
        <w:pBdr>
          <w:top w:val="nil"/>
          <w:left w:val="nil"/>
          <w:bottom w:val="nil"/>
          <w:right w:val="nil"/>
          <w:between w:val="nil"/>
        </w:pBdr>
        <w:spacing w:after="120"/>
        <w:jc w:val="both"/>
        <w:rPr>
          <w:rFonts w:ascii="Arial" w:eastAsia="Arial" w:hAnsi="Arial" w:cs="Arial"/>
          <w:sz w:val="22"/>
          <w:szCs w:val="22"/>
          <w:lang w:val="es-AR"/>
        </w:rPr>
      </w:pPr>
      <w:r w:rsidRPr="009C6D4A">
        <w:rPr>
          <w:rFonts w:ascii="Arial" w:eastAsia="Arial" w:hAnsi="Arial" w:cs="Arial"/>
          <w:sz w:val="22"/>
          <w:szCs w:val="22"/>
          <w:lang w:val="es-AR"/>
        </w:rPr>
        <w:t>Las áreas quemadas, así como la recurrencia de incendios será puesta a disposición del público en la IDE de la provincia de La Pampa (en proceso de publicación).</w:t>
      </w:r>
    </w:p>
    <w:p w:rsidR="009C6D4A" w:rsidRPr="009C6D4A" w:rsidRDefault="009C6D4A" w:rsidP="009C6D4A">
      <w:pPr>
        <w:pBdr>
          <w:top w:val="nil"/>
          <w:left w:val="nil"/>
          <w:bottom w:val="nil"/>
          <w:right w:val="nil"/>
          <w:between w:val="nil"/>
        </w:pBdr>
        <w:spacing w:after="120"/>
        <w:jc w:val="both"/>
        <w:rPr>
          <w:rFonts w:ascii="Arial" w:eastAsia="Arial" w:hAnsi="Arial" w:cs="Arial"/>
          <w:sz w:val="22"/>
          <w:szCs w:val="22"/>
          <w:lang w:val="es-AR"/>
        </w:rPr>
      </w:pPr>
      <w:r w:rsidRPr="009C6D4A">
        <w:rPr>
          <w:rFonts w:ascii="Arial" w:eastAsia="Arial" w:hAnsi="Arial" w:cs="Arial"/>
          <w:sz w:val="22"/>
          <w:szCs w:val="22"/>
          <w:lang w:val="es-AR"/>
        </w:rPr>
        <w:t>Dicha información resulta valiosa ya que permite apreciar espacialmente las áreas ocurrencia de incendios y superponer a la misma distintas fuentes de información para realizar análisis específicos que variarán en requerimientos de acuerdo al tipo de objetivos.</w:t>
      </w:r>
    </w:p>
    <w:p w:rsidR="009C6D4A" w:rsidRPr="009C6D4A" w:rsidRDefault="009C6D4A" w:rsidP="009C6D4A">
      <w:pPr>
        <w:pBdr>
          <w:top w:val="nil"/>
          <w:left w:val="nil"/>
          <w:bottom w:val="nil"/>
          <w:right w:val="nil"/>
          <w:between w:val="nil"/>
        </w:pBdr>
        <w:spacing w:after="120"/>
        <w:jc w:val="both"/>
        <w:rPr>
          <w:rFonts w:ascii="Arial" w:eastAsia="Arial" w:hAnsi="Arial" w:cs="Arial"/>
          <w:sz w:val="22"/>
          <w:szCs w:val="22"/>
          <w:lang w:val="es-AR"/>
        </w:rPr>
      </w:pPr>
      <w:r w:rsidRPr="009C6D4A">
        <w:rPr>
          <w:rFonts w:ascii="Arial" w:eastAsia="Arial" w:hAnsi="Arial" w:cs="Arial"/>
          <w:sz w:val="22"/>
          <w:szCs w:val="22"/>
          <w:lang w:val="es-AR"/>
        </w:rPr>
        <w:t>Las áreas incendiadas y otro tipo de información como podría ser la red vial, de caminos rurales, la densidad poblacional, información climática espacial y otras capas de información podrían usarse para identificar los factores principales que explican la ocurrencia de incendios.</w:t>
      </w:r>
    </w:p>
    <w:p w:rsidR="009C6D4A" w:rsidRPr="009C6D4A" w:rsidRDefault="009C6D4A" w:rsidP="009C6D4A">
      <w:pPr>
        <w:pBdr>
          <w:top w:val="nil"/>
          <w:left w:val="nil"/>
          <w:bottom w:val="nil"/>
          <w:right w:val="nil"/>
          <w:between w:val="nil"/>
        </w:pBdr>
        <w:spacing w:after="120"/>
        <w:jc w:val="both"/>
        <w:rPr>
          <w:rFonts w:ascii="Arial" w:eastAsia="Arial" w:hAnsi="Arial" w:cs="Arial"/>
          <w:sz w:val="22"/>
          <w:szCs w:val="22"/>
          <w:lang w:val="es-AR"/>
        </w:rPr>
      </w:pPr>
      <w:r w:rsidRPr="009C6D4A">
        <w:rPr>
          <w:rFonts w:ascii="Arial" w:eastAsia="Arial" w:hAnsi="Arial" w:cs="Arial"/>
          <w:sz w:val="22"/>
          <w:szCs w:val="22"/>
          <w:lang w:val="es-AR"/>
        </w:rPr>
        <w:t>Otros análisis podrían evaluar el grado de accesibilidad que presentan los campos de las áreas incendiadas, para prever planes de evacuación futuros, la cercanía a centros asistenciales de salud para poder dar adecuada respuesta ante emergencias, la distancia a cuerpos de bomberos o de defensa civil de las áreas preponderantes a incendios, para poder mejorar la logística ante futuros incendios, la vulnerabilidad de las distintas redes de suministro eléctrico ante incendios, etc.</w:t>
      </w:r>
    </w:p>
    <w:p w:rsidR="009C6D4A" w:rsidRPr="009C6D4A" w:rsidRDefault="009C6D4A" w:rsidP="009C6D4A">
      <w:pPr>
        <w:pBdr>
          <w:top w:val="nil"/>
          <w:left w:val="nil"/>
          <w:bottom w:val="nil"/>
          <w:right w:val="nil"/>
          <w:between w:val="nil"/>
        </w:pBdr>
        <w:spacing w:after="120"/>
        <w:jc w:val="both"/>
        <w:rPr>
          <w:rFonts w:ascii="Arial" w:eastAsia="Arial" w:hAnsi="Arial" w:cs="Arial"/>
          <w:sz w:val="22"/>
          <w:szCs w:val="22"/>
          <w:lang w:val="es-AR"/>
        </w:rPr>
      </w:pPr>
      <w:r w:rsidRPr="009C6D4A">
        <w:rPr>
          <w:rFonts w:ascii="Arial" w:eastAsia="Arial" w:hAnsi="Arial" w:cs="Arial"/>
          <w:sz w:val="22"/>
          <w:szCs w:val="22"/>
          <w:lang w:val="es-AR"/>
        </w:rPr>
        <w:t>A partir de la información aportada en conjunción con otras se pueden priorizar planes de acción que eviten que las áreas no quemadas se incendien o identificar áreas prioritarias para promover la restauración ecológica.</w:t>
      </w:r>
    </w:p>
    <w:p w:rsidR="000D001B" w:rsidRDefault="009C6D4A" w:rsidP="009C6D4A">
      <w:pPr>
        <w:pBdr>
          <w:top w:val="nil"/>
          <w:left w:val="nil"/>
          <w:bottom w:val="nil"/>
          <w:right w:val="nil"/>
          <w:between w:val="nil"/>
        </w:pBdr>
        <w:spacing w:after="120"/>
        <w:jc w:val="both"/>
        <w:rPr>
          <w:rFonts w:ascii="Arial" w:eastAsia="Arial" w:hAnsi="Arial" w:cs="Arial"/>
          <w:sz w:val="22"/>
          <w:szCs w:val="22"/>
        </w:rPr>
      </w:pPr>
      <w:r w:rsidRPr="009C6D4A">
        <w:rPr>
          <w:rFonts w:ascii="Arial" w:eastAsia="Arial" w:hAnsi="Arial" w:cs="Arial"/>
          <w:sz w:val="22"/>
          <w:szCs w:val="22"/>
          <w:lang w:val="es-AR"/>
        </w:rPr>
        <w:t>La dimensión de la problemática de los incendios en la provincia de La Pampa requiere un abordaje integral, siendo necesaria la colaboración efectiva de distintas áreas de gobierno, y donde la información geoespacial juega un rol importante. En este sentido, facilitar la accesibilidad de esta información mediante la IDE provincial permite avanzar hacia espacios de colaboración e integración y posibilitando nuevos abordajes para mejorar el tratamiento de esta problemática.</w:t>
      </w:r>
    </w:p>
    <w:p w:rsidR="000D001B" w:rsidRDefault="000D001B">
      <w:pPr>
        <w:pBdr>
          <w:top w:val="nil"/>
          <w:left w:val="nil"/>
          <w:bottom w:val="nil"/>
          <w:right w:val="nil"/>
          <w:between w:val="nil"/>
        </w:pBdr>
        <w:spacing w:after="120"/>
        <w:jc w:val="both"/>
        <w:rPr>
          <w:rFonts w:ascii="Arial" w:eastAsia="Arial" w:hAnsi="Arial" w:cs="Arial"/>
          <w:color w:val="000000"/>
          <w:sz w:val="22"/>
          <w:szCs w:val="22"/>
        </w:rPr>
      </w:pPr>
    </w:p>
    <w:p w:rsidR="000D001B" w:rsidRDefault="00CA4E37">
      <w:pPr>
        <w:widowControl w:val="0"/>
        <w:pBdr>
          <w:top w:val="nil"/>
          <w:left w:val="nil"/>
          <w:bottom w:val="nil"/>
          <w:right w:val="nil"/>
          <w:between w:val="nil"/>
        </w:pBdr>
        <w:spacing w:after="120"/>
        <w:jc w:val="both"/>
        <w:rPr>
          <w:rFonts w:ascii="Arial" w:eastAsia="Arial" w:hAnsi="Arial" w:cs="Arial"/>
          <w:b/>
          <w:color w:val="000000"/>
          <w:sz w:val="22"/>
          <w:szCs w:val="22"/>
          <w:lang w:val="en-US"/>
        </w:rPr>
      </w:pPr>
      <w:r w:rsidRPr="009C6D4A">
        <w:rPr>
          <w:rFonts w:ascii="Arial" w:eastAsia="Arial" w:hAnsi="Arial" w:cs="Arial"/>
          <w:b/>
          <w:color w:val="000000"/>
          <w:sz w:val="22"/>
          <w:szCs w:val="22"/>
          <w:lang w:val="en-US"/>
        </w:rPr>
        <w:t>REFERENCIAS</w:t>
      </w:r>
    </w:p>
    <w:p w:rsidR="009C6D4A" w:rsidRPr="009C6D4A" w:rsidRDefault="009C6D4A">
      <w:pPr>
        <w:widowControl w:val="0"/>
        <w:pBdr>
          <w:top w:val="nil"/>
          <w:left w:val="nil"/>
          <w:bottom w:val="nil"/>
          <w:right w:val="nil"/>
          <w:between w:val="nil"/>
        </w:pBdr>
        <w:spacing w:after="120"/>
        <w:jc w:val="both"/>
        <w:rPr>
          <w:rFonts w:ascii="Arial" w:eastAsia="Arial" w:hAnsi="Arial" w:cs="Arial"/>
          <w:color w:val="000000"/>
          <w:sz w:val="22"/>
          <w:szCs w:val="22"/>
          <w:lang w:val="en-US"/>
        </w:rPr>
      </w:pPr>
    </w:p>
    <w:p w:rsidR="009C6D4A" w:rsidRDefault="009C6D4A" w:rsidP="009C6D4A">
      <w:pPr>
        <w:widowControl w:val="0"/>
        <w:pBdr>
          <w:top w:val="nil"/>
          <w:left w:val="nil"/>
          <w:bottom w:val="nil"/>
          <w:right w:val="nil"/>
          <w:between w:val="nil"/>
        </w:pBdr>
        <w:spacing w:after="120"/>
        <w:jc w:val="both"/>
        <w:rPr>
          <w:rFonts w:ascii="Arial" w:eastAsia="Arial" w:hAnsi="Arial" w:cs="Arial"/>
          <w:color w:val="000000"/>
          <w:sz w:val="22"/>
          <w:szCs w:val="22"/>
          <w:lang w:val="es-AR"/>
        </w:rPr>
      </w:pPr>
      <w:r w:rsidRPr="009C6D4A">
        <w:rPr>
          <w:rFonts w:ascii="Arial" w:eastAsia="Arial" w:hAnsi="Arial" w:cs="Arial"/>
          <w:color w:val="000000"/>
          <w:sz w:val="22"/>
          <w:szCs w:val="22"/>
          <w:lang w:val="en-US"/>
        </w:rPr>
        <w:t xml:space="preserve">Bowman, D. M. J., Jennifer, K. B., Paulo, A. (2009) Fire in the Earth system. </w:t>
      </w:r>
      <w:r w:rsidRPr="009C6D4A">
        <w:rPr>
          <w:rFonts w:ascii="Arial" w:eastAsia="Arial" w:hAnsi="Arial" w:cs="Arial"/>
          <w:i/>
          <w:iCs/>
          <w:color w:val="000000"/>
          <w:sz w:val="22"/>
          <w:szCs w:val="22"/>
          <w:lang w:val="es-AR"/>
        </w:rPr>
        <w:t xml:space="preserve">Science </w:t>
      </w:r>
      <w:r w:rsidRPr="009C6D4A">
        <w:rPr>
          <w:rFonts w:ascii="Arial" w:eastAsia="Arial" w:hAnsi="Arial" w:cs="Arial"/>
          <w:bCs/>
          <w:color w:val="000000"/>
          <w:sz w:val="22"/>
          <w:szCs w:val="22"/>
          <w:lang w:val="es-AR"/>
        </w:rPr>
        <w:t>324</w:t>
      </w:r>
      <w:r w:rsidRPr="009C6D4A">
        <w:rPr>
          <w:rFonts w:ascii="Arial" w:eastAsia="Arial" w:hAnsi="Arial" w:cs="Arial"/>
          <w:b/>
          <w:bCs/>
          <w:color w:val="000000"/>
          <w:sz w:val="22"/>
          <w:szCs w:val="22"/>
          <w:lang w:val="es-AR"/>
        </w:rPr>
        <w:t xml:space="preserve">, </w:t>
      </w:r>
      <w:r w:rsidRPr="009C6D4A">
        <w:rPr>
          <w:rFonts w:ascii="Arial" w:eastAsia="Arial" w:hAnsi="Arial" w:cs="Arial"/>
          <w:color w:val="000000"/>
          <w:sz w:val="22"/>
          <w:szCs w:val="22"/>
          <w:lang w:val="es-AR"/>
        </w:rPr>
        <w:t>481–484.</w:t>
      </w:r>
    </w:p>
    <w:p w:rsidR="009C6D4A" w:rsidRPr="009C6D4A" w:rsidRDefault="009C6D4A" w:rsidP="009C6D4A">
      <w:pPr>
        <w:widowControl w:val="0"/>
        <w:pBdr>
          <w:top w:val="nil"/>
          <w:left w:val="nil"/>
          <w:bottom w:val="nil"/>
          <w:right w:val="nil"/>
          <w:between w:val="nil"/>
        </w:pBdr>
        <w:spacing w:after="120"/>
        <w:jc w:val="both"/>
        <w:rPr>
          <w:rFonts w:ascii="Arial" w:eastAsia="Arial" w:hAnsi="Arial" w:cs="Arial"/>
          <w:color w:val="000000"/>
          <w:sz w:val="22"/>
          <w:szCs w:val="22"/>
          <w:lang w:val="es-AR"/>
        </w:rPr>
      </w:pPr>
    </w:p>
    <w:p w:rsidR="009C6D4A" w:rsidRDefault="009C6D4A" w:rsidP="009C6D4A">
      <w:pPr>
        <w:widowControl w:val="0"/>
        <w:pBdr>
          <w:top w:val="nil"/>
          <w:left w:val="nil"/>
          <w:bottom w:val="nil"/>
          <w:right w:val="nil"/>
          <w:between w:val="nil"/>
        </w:pBdr>
        <w:spacing w:after="120"/>
        <w:jc w:val="both"/>
        <w:rPr>
          <w:rFonts w:ascii="Arial" w:eastAsia="Arial" w:hAnsi="Arial" w:cs="Arial"/>
          <w:color w:val="000000"/>
          <w:sz w:val="22"/>
          <w:szCs w:val="22"/>
          <w:lang w:val="es-AR"/>
        </w:rPr>
      </w:pPr>
      <w:r w:rsidRPr="009C6D4A">
        <w:rPr>
          <w:rFonts w:ascii="Arial" w:eastAsia="Arial" w:hAnsi="Arial" w:cs="Arial"/>
          <w:color w:val="000000"/>
          <w:sz w:val="22"/>
          <w:szCs w:val="22"/>
          <w:lang w:val="es-AR"/>
        </w:rPr>
        <w:t xml:space="preserve">Chuvieco, E. (2002) </w:t>
      </w:r>
      <w:r w:rsidRPr="009C6D4A">
        <w:rPr>
          <w:rFonts w:ascii="Arial" w:eastAsia="Arial" w:hAnsi="Arial" w:cs="Arial"/>
          <w:iCs/>
          <w:color w:val="000000"/>
          <w:sz w:val="22"/>
          <w:szCs w:val="22"/>
          <w:lang w:val="es-AR"/>
        </w:rPr>
        <w:t>Teledetección ambiental</w:t>
      </w:r>
      <w:r w:rsidRPr="009C6D4A">
        <w:rPr>
          <w:rFonts w:ascii="Arial" w:eastAsia="Arial" w:hAnsi="Arial" w:cs="Arial"/>
          <w:color w:val="000000"/>
          <w:sz w:val="22"/>
          <w:szCs w:val="22"/>
          <w:lang w:val="es-AR"/>
        </w:rPr>
        <w:t>. 1 ed. Ariel S.A, Barcelona, España</w:t>
      </w:r>
    </w:p>
    <w:p w:rsidR="009C6D4A" w:rsidRPr="009C6D4A" w:rsidRDefault="009C6D4A" w:rsidP="009C6D4A">
      <w:pPr>
        <w:widowControl w:val="0"/>
        <w:pBdr>
          <w:top w:val="nil"/>
          <w:left w:val="nil"/>
          <w:bottom w:val="nil"/>
          <w:right w:val="nil"/>
          <w:between w:val="nil"/>
        </w:pBdr>
        <w:spacing w:after="120"/>
        <w:jc w:val="both"/>
        <w:rPr>
          <w:rFonts w:ascii="Arial" w:eastAsia="Arial" w:hAnsi="Arial" w:cs="Arial"/>
          <w:color w:val="000000"/>
          <w:sz w:val="22"/>
          <w:szCs w:val="22"/>
          <w:lang w:val="es-AR"/>
        </w:rPr>
      </w:pPr>
    </w:p>
    <w:p w:rsidR="009C6D4A" w:rsidRDefault="009C6D4A" w:rsidP="009C6D4A">
      <w:pPr>
        <w:widowControl w:val="0"/>
        <w:pBdr>
          <w:top w:val="nil"/>
          <w:left w:val="nil"/>
          <w:bottom w:val="nil"/>
          <w:right w:val="nil"/>
          <w:between w:val="nil"/>
        </w:pBdr>
        <w:spacing w:after="120"/>
        <w:jc w:val="both"/>
        <w:rPr>
          <w:rFonts w:ascii="Arial" w:eastAsia="Arial" w:hAnsi="Arial" w:cs="Arial"/>
          <w:color w:val="000000"/>
          <w:sz w:val="22"/>
          <w:szCs w:val="22"/>
          <w:lang w:val="en-US"/>
        </w:rPr>
      </w:pPr>
      <w:r w:rsidRPr="009C6D4A">
        <w:rPr>
          <w:rFonts w:ascii="Arial" w:eastAsia="Arial" w:hAnsi="Arial" w:cs="Arial"/>
          <w:color w:val="000000"/>
          <w:sz w:val="22"/>
          <w:szCs w:val="22"/>
          <w:lang w:val="en-US"/>
        </w:rPr>
        <w:t xml:space="preserve">Falk, D. A., Miller, C., McKenzie, D. y Black, A. E. (2007) Cross-Scale Analysis of Fire Regimes. </w:t>
      </w:r>
      <w:r w:rsidRPr="009C6D4A">
        <w:rPr>
          <w:rFonts w:ascii="Arial" w:eastAsia="Arial" w:hAnsi="Arial" w:cs="Arial"/>
          <w:i/>
          <w:iCs/>
          <w:color w:val="000000"/>
          <w:sz w:val="22"/>
          <w:szCs w:val="22"/>
          <w:lang w:val="en-US"/>
        </w:rPr>
        <w:t xml:space="preserve">Ecosystems </w:t>
      </w:r>
      <w:r w:rsidRPr="009C6D4A">
        <w:rPr>
          <w:rFonts w:ascii="Arial" w:eastAsia="Arial" w:hAnsi="Arial" w:cs="Arial"/>
          <w:bCs/>
          <w:color w:val="000000"/>
          <w:sz w:val="22"/>
          <w:szCs w:val="22"/>
          <w:lang w:val="en-US"/>
        </w:rPr>
        <w:t>10</w:t>
      </w:r>
      <w:r w:rsidRPr="009C6D4A">
        <w:rPr>
          <w:rFonts w:ascii="Arial" w:eastAsia="Arial" w:hAnsi="Arial" w:cs="Arial"/>
          <w:b/>
          <w:bCs/>
          <w:color w:val="000000"/>
          <w:sz w:val="22"/>
          <w:szCs w:val="22"/>
          <w:lang w:val="en-US"/>
        </w:rPr>
        <w:t xml:space="preserve">, </w:t>
      </w:r>
      <w:r w:rsidRPr="009C6D4A">
        <w:rPr>
          <w:rFonts w:ascii="Arial" w:eastAsia="Arial" w:hAnsi="Arial" w:cs="Arial"/>
          <w:color w:val="000000"/>
          <w:sz w:val="22"/>
          <w:szCs w:val="22"/>
          <w:lang w:val="en-US"/>
        </w:rPr>
        <w:t>809–823.</w:t>
      </w:r>
    </w:p>
    <w:p w:rsidR="009C6D4A" w:rsidRPr="009C6D4A" w:rsidRDefault="009C6D4A" w:rsidP="009C6D4A">
      <w:pPr>
        <w:widowControl w:val="0"/>
        <w:pBdr>
          <w:top w:val="nil"/>
          <w:left w:val="nil"/>
          <w:bottom w:val="nil"/>
          <w:right w:val="nil"/>
          <w:between w:val="nil"/>
        </w:pBdr>
        <w:spacing w:after="120"/>
        <w:jc w:val="both"/>
        <w:rPr>
          <w:rFonts w:ascii="Arial" w:eastAsia="Arial" w:hAnsi="Arial" w:cs="Arial"/>
          <w:color w:val="000000"/>
          <w:sz w:val="22"/>
          <w:szCs w:val="22"/>
          <w:lang w:val="en-US"/>
        </w:rPr>
      </w:pPr>
    </w:p>
    <w:p w:rsidR="009C6D4A" w:rsidRDefault="009C6D4A" w:rsidP="009C6D4A">
      <w:pPr>
        <w:widowControl w:val="0"/>
        <w:pBdr>
          <w:top w:val="nil"/>
          <w:left w:val="nil"/>
          <w:bottom w:val="nil"/>
          <w:right w:val="nil"/>
          <w:between w:val="nil"/>
        </w:pBdr>
        <w:spacing w:after="120"/>
        <w:jc w:val="both"/>
        <w:rPr>
          <w:rFonts w:ascii="Arial" w:eastAsia="Arial" w:hAnsi="Arial" w:cs="Arial"/>
          <w:color w:val="000000"/>
          <w:sz w:val="22"/>
          <w:szCs w:val="22"/>
          <w:lang w:val="es-AR"/>
        </w:rPr>
      </w:pPr>
      <w:r w:rsidRPr="009C6D4A">
        <w:rPr>
          <w:rFonts w:ascii="Arial" w:eastAsia="Arial" w:hAnsi="Arial" w:cs="Arial"/>
          <w:color w:val="000000"/>
          <w:sz w:val="22"/>
          <w:szCs w:val="22"/>
          <w:lang w:val="en-US"/>
        </w:rPr>
        <w:t xml:space="preserve">Fischer, M.A., Di Bellaa, Jobbágy, E.G.. (2012) Fire patterns in central semiarid Argentina. </w:t>
      </w:r>
      <w:r w:rsidRPr="009C6D4A">
        <w:rPr>
          <w:rFonts w:ascii="Arial" w:eastAsia="Arial" w:hAnsi="Arial" w:cs="Arial"/>
          <w:color w:val="000000"/>
          <w:sz w:val="22"/>
          <w:szCs w:val="22"/>
          <w:lang w:val="es-AR"/>
        </w:rPr>
        <w:t>Journal of Arid Environments 78, 161-168.</w:t>
      </w:r>
    </w:p>
    <w:p w:rsidR="009C6D4A" w:rsidRPr="009C6D4A" w:rsidRDefault="009C6D4A" w:rsidP="009C6D4A">
      <w:pPr>
        <w:widowControl w:val="0"/>
        <w:pBdr>
          <w:top w:val="nil"/>
          <w:left w:val="nil"/>
          <w:bottom w:val="nil"/>
          <w:right w:val="nil"/>
          <w:between w:val="nil"/>
        </w:pBdr>
        <w:spacing w:after="120"/>
        <w:jc w:val="both"/>
        <w:rPr>
          <w:rFonts w:ascii="Arial" w:eastAsia="Arial" w:hAnsi="Arial" w:cs="Arial"/>
          <w:color w:val="000000"/>
          <w:sz w:val="22"/>
          <w:szCs w:val="22"/>
          <w:lang w:val="es-AR"/>
        </w:rPr>
      </w:pPr>
    </w:p>
    <w:p w:rsidR="009C6D4A" w:rsidRPr="009C6D4A" w:rsidRDefault="009C6D4A" w:rsidP="009C6D4A">
      <w:pPr>
        <w:widowControl w:val="0"/>
        <w:pBdr>
          <w:top w:val="nil"/>
          <w:left w:val="nil"/>
          <w:bottom w:val="nil"/>
          <w:right w:val="nil"/>
          <w:between w:val="nil"/>
        </w:pBdr>
        <w:spacing w:after="120"/>
        <w:jc w:val="both"/>
        <w:rPr>
          <w:rFonts w:ascii="Arial" w:eastAsia="Arial" w:hAnsi="Arial" w:cs="Arial"/>
          <w:color w:val="000000"/>
          <w:sz w:val="22"/>
          <w:szCs w:val="22"/>
          <w:lang w:val="es-AR"/>
        </w:rPr>
      </w:pPr>
      <w:r w:rsidRPr="009C6D4A">
        <w:rPr>
          <w:rFonts w:ascii="Arial" w:eastAsia="Arial" w:hAnsi="Arial" w:cs="Arial"/>
          <w:color w:val="000000"/>
          <w:sz w:val="22"/>
          <w:szCs w:val="22"/>
          <w:lang w:val="es-AR"/>
        </w:rPr>
        <w:t>Méndez, J.L., (2007). Primer inventario nacional de bosques nativos. Segunda etapa, inventario de campo de la región del espinal: Distritos del Caldén y Ñandubay. Anexo 1: Estado de conservación del Caldenal. Buenos Aires.</w:t>
      </w:r>
    </w:p>
    <w:p w:rsidR="000D001B" w:rsidRDefault="000D001B" w:rsidP="009C6D4A">
      <w:pPr>
        <w:widowControl w:val="0"/>
        <w:pBdr>
          <w:top w:val="nil"/>
          <w:left w:val="nil"/>
          <w:bottom w:val="nil"/>
          <w:right w:val="nil"/>
          <w:between w:val="nil"/>
        </w:pBdr>
        <w:spacing w:after="120"/>
        <w:jc w:val="both"/>
        <w:rPr>
          <w:rFonts w:ascii="Arial" w:eastAsia="Arial" w:hAnsi="Arial" w:cs="Arial"/>
          <w:sz w:val="22"/>
          <w:szCs w:val="22"/>
        </w:rPr>
      </w:pPr>
    </w:p>
    <w:p w:rsidR="009C6D4A" w:rsidRDefault="009C6D4A" w:rsidP="009C6D4A">
      <w:pPr>
        <w:widowControl w:val="0"/>
        <w:pBdr>
          <w:top w:val="nil"/>
          <w:left w:val="nil"/>
          <w:bottom w:val="nil"/>
          <w:right w:val="nil"/>
          <w:between w:val="nil"/>
        </w:pBdr>
        <w:spacing w:after="120"/>
        <w:jc w:val="both"/>
        <w:rPr>
          <w:rFonts w:ascii="Arial" w:eastAsia="Arial" w:hAnsi="Arial" w:cs="Arial"/>
          <w:sz w:val="22"/>
          <w:szCs w:val="22"/>
        </w:rPr>
      </w:pPr>
    </w:p>
    <w:p w:rsidR="009C6D4A" w:rsidRDefault="009C6D4A" w:rsidP="009C6D4A">
      <w:pPr>
        <w:widowControl w:val="0"/>
        <w:pBdr>
          <w:top w:val="nil"/>
          <w:left w:val="nil"/>
          <w:bottom w:val="nil"/>
          <w:right w:val="nil"/>
          <w:between w:val="nil"/>
        </w:pBdr>
        <w:spacing w:after="120"/>
        <w:jc w:val="both"/>
        <w:rPr>
          <w:rFonts w:ascii="Arial" w:eastAsia="Arial" w:hAnsi="Arial" w:cs="Arial"/>
          <w:sz w:val="22"/>
          <w:szCs w:val="22"/>
        </w:rPr>
      </w:pPr>
    </w:p>
    <w:p w:rsidR="009C6D4A" w:rsidRDefault="009C6D4A" w:rsidP="009C6D4A">
      <w:pPr>
        <w:widowControl w:val="0"/>
        <w:pBdr>
          <w:top w:val="nil"/>
          <w:left w:val="nil"/>
          <w:bottom w:val="nil"/>
          <w:right w:val="nil"/>
          <w:between w:val="nil"/>
        </w:pBdr>
        <w:spacing w:after="120"/>
        <w:jc w:val="both"/>
        <w:rPr>
          <w:rFonts w:ascii="Arial" w:eastAsia="Arial" w:hAnsi="Arial" w:cs="Arial"/>
          <w:sz w:val="22"/>
          <w:szCs w:val="22"/>
        </w:rPr>
      </w:pPr>
    </w:p>
    <w:p w:rsidR="009C6D4A" w:rsidRDefault="009C6D4A" w:rsidP="009C6D4A">
      <w:pPr>
        <w:widowControl w:val="0"/>
        <w:pBdr>
          <w:top w:val="nil"/>
          <w:left w:val="nil"/>
          <w:bottom w:val="nil"/>
          <w:right w:val="nil"/>
          <w:between w:val="nil"/>
        </w:pBdr>
        <w:spacing w:after="120"/>
        <w:jc w:val="both"/>
        <w:rPr>
          <w:rFonts w:ascii="Arial" w:eastAsia="Arial" w:hAnsi="Arial" w:cs="Arial"/>
          <w:sz w:val="22"/>
          <w:szCs w:val="22"/>
        </w:rPr>
      </w:pPr>
    </w:p>
    <w:p w:rsidR="009C6D4A" w:rsidRDefault="009C6D4A" w:rsidP="009C6D4A">
      <w:pPr>
        <w:widowControl w:val="0"/>
        <w:pBdr>
          <w:top w:val="nil"/>
          <w:left w:val="nil"/>
          <w:bottom w:val="nil"/>
          <w:right w:val="nil"/>
          <w:between w:val="nil"/>
        </w:pBdr>
        <w:spacing w:after="120"/>
        <w:jc w:val="both"/>
        <w:rPr>
          <w:rFonts w:ascii="Arial" w:eastAsia="Arial" w:hAnsi="Arial" w:cs="Arial"/>
          <w:sz w:val="22"/>
          <w:szCs w:val="22"/>
        </w:rPr>
        <w:sectPr w:rsidR="009C6D4A">
          <w:pgSz w:w="11906" w:h="16838"/>
          <w:pgMar w:top="2835" w:right="1985" w:bottom="2835" w:left="1985" w:header="709" w:footer="709" w:gutter="0"/>
          <w:pgNumType w:start="1"/>
          <w:cols w:space="720"/>
        </w:sectPr>
      </w:pPr>
    </w:p>
    <w:p w:rsidR="00D608FA" w:rsidRDefault="009C6D4A" w:rsidP="00893B38">
      <w:pPr>
        <w:widowControl w:val="0"/>
        <w:pBdr>
          <w:top w:val="nil"/>
          <w:left w:val="nil"/>
          <w:bottom w:val="nil"/>
          <w:right w:val="nil"/>
          <w:between w:val="nil"/>
        </w:pBdr>
        <w:spacing w:after="120"/>
        <w:jc w:val="center"/>
        <w:rPr>
          <w:rFonts w:ascii="Arial" w:eastAsia="Arial" w:hAnsi="Arial" w:cs="Arial"/>
          <w:sz w:val="22"/>
          <w:szCs w:val="22"/>
        </w:rPr>
      </w:pPr>
      <w:r>
        <w:rPr>
          <w:rFonts w:ascii="Arial" w:eastAsia="Arial" w:hAnsi="Arial" w:cs="Arial"/>
          <w:sz w:val="22"/>
          <w:szCs w:val="22"/>
        </w:rPr>
        <w:lastRenderedPageBreak/>
        <w:t>APENDICE I: Áreas quemadas (Noviembre a Febrero) por temporadas</w:t>
      </w:r>
    </w:p>
    <w:p w:rsidR="00D608FA" w:rsidRDefault="00D608FA" w:rsidP="00893B38">
      <w:pPr>
        <w:widowControl w:val="0"/>
        <w:pBdr>
          <w:top w:val="nil"/>
          <w:left w:val="nil"/>
          <w:bottom w:val="nil"/>
          <w:right w:val="nil"/>
          <w:between w:val="nil"/>
        </w:pBdr>
        <w:spacing w:after="120"/>
        <w:jc w:val="center"/>
        <w:rPr>
          <w:rStyle w:val="Normal"/>
          <w:snapToGrid w:val="0"/>
          <w:color w:val="000000"/>
          <w:w w:val="0"/>
          <w:sz w:val="0"/>
          <w:szCs w:val="0"/>
          <w:u w:color="000000"/>
          <w:bdr w:val="none" w:sz="0" w:space="0" w:color="000000"/>
          <w:shd w:val="clear" w:color="000000" w:fill="000000"/>
          <w:lang w:val="x-none" w:eastAsia="x-none" w:bidi="x-none"/>
        </w:rPr>
      </w:pPr>
      <w:r w:rsidRPr="00D608FA">
        <w:rPr>
          <w:rFonts w:ascii="Arial" w:eastAsia="Arial" w:hAnsi="Arial" w:cs="Arial"/>
          <w:noProof/>
          <w:sz w:val="22"/>
          <w:szCs w:val="22"/>
          <w:lang w:val="en-US"/>
        </w:rPr>
        <w:drawing>
          <wp:inline distT="0" distB="0" distL="0" distR="0">
            <wp:extent cx="2156460" cy="2156460"/>
            <wp:effectExtent l="0" t="0" r="0" b="0"/>
            <wp:docPr id="14" name="Imagen 14" descr="F:\Temporales cuarentena\Incendios\AQ_2011-2023\Salidas Graficas\Mapas anuales Incendios_2011_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Temporales cuarentena\Incendios\AQ_2011-2023\Salidas Graficas\Mapas anuales Incendios_2011_201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inline>
        </w:drawing>
      </w:r>
      <w:r w:rsidR="00893B38" w:rsidRPr="00893B38">
        <w:rPr>
          <w:rFonts w:ascii="Arial" w:eastAsia="Arial" w:hAnsi="Arial" w:cs="Arial"/>
          <w:noProof/>
          <w:sz w:val="22"/>
          <w:szCs w:val="22"/>
          <w:lang w:val="en-US"/>
        </w:rPr>
        <w:drawing>
          <wp:inline distT="0" distB="0" distL="0" distR="0">
            <wp:extent cx="2156460" cy="2156460"/>
            <wp:effectExtent l="0" t="0" r="0" b="0"/>
            <wp:docPr id="15" name="Imagen 15" descr="F:\Temporales cuarentena\Incendios\AQ_2011-2023\Salidas Graficas\Mapas anuales Incendios_2012_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emporales cuarentena\Incendios\AQ_2011-2023\Salidas Graficas\Mapas anuales Incendios_2012_201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inline>
        </w:drawing>
      </w:r>
    </w:p>
    <w:p w:rsidR="00893B38" w:rsidRDefault="00893B38" w:rsidP="00893B38">
      <w:pPr>
        <w:widowControl w:val="0"/>
        <w:pBdr>
          <w:top w:val="nil"/>
          <w:left w:val="nil"/>
          <w:bottom w:val="nil"/>
          <w:right w:val="nil"/>
          <w:between w:val="nil"/>
        </w:pBdr>
        <w:spacing w:after="120"/>
        <w:jc w:val="center"/>
        <w:rPr>
          <w:rStyle w:val="Normal"/>
          <w:snapToGrid w:val="0"/>
          <w:color w:val="000000"/>
          <w:w w:val="0"/>
          <w:sz w:val="0"/>
          <w:szCs w:val="0"/>
          <w:u w:color="000000"/>
          <w:bdr w:val="none" w:sz="0" w:space="0" w:color="000000"/>
          <w:shd w:val="clear" w:color="000000" w:fill="000000"/>
          <w:lang w:val="x-none" w:eastAsia="x-none" w:bidi="x-none"/>
        </w:rPr>
      </w:pPr>
      <w:r w:rsidRPr="00893B38">
        <w:rPr>
          <w:rFonts w:ascii="Arial" w:eastAsia="Arial" w:hAnsi="Arial" w:cs="Arial"/>
          <w:noProof/>
          <w:sz w:val="22"/>
          <w:szCs w:val="22"/>
          <w:lang w:val="en-US"/>
        </w:rPr>
        <w:drawing>
          <wp:inline distT="0" distB="0" distL="0" distR="0">
            <wp:extent cx="2156460" cy="2156460"/>
            <wp:effectExtent l="0" t="0" r="0" b="0"/>
            <wp:docPr id="16" name="Imagen 16" descr="F:\Temporales cuarentena\Incendios\AQ_2011-2023\Salidas Graficas\Mapas anuales Incendios_2013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Temporales cuarentena\Incendios\AQ_2011-2023\Salidas Graficas\Mapas anuales Incendios_2013_2014.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inline>
        </w:drawing>
      </w:r>
      <w:r w:rsidRPr="00893B38">
        <w:rPr>
          <w:rFonts w:ascii="Arial" w:eastAsia="Arial" w:hAnsi="Arial" w:cs="Arial"/>
          <w:noProof/>
          <w:sz w:val="22"/>
          <w:szCs w:val="22"/>
          <w:lang w:val="en-US"/>
        </w:rPr>
        <w:drawing>
          <wp:inline distT="0" distB="0" distL="0" distR="0">
            <wp:extent cx="2156460" cy="2156460"/>
            <wp:effectExtent l="0" t="0" r="0" b="0"/>
            <wp:docPr id="17" name="Imagen 17" descr="F:\Temporales cuarentena\Incendios\AQ_2011-2023\Salidas Graficas\Mapas anuales Incendios_2014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Temporales cuarentena\Incendios\AQ_2011-2023\Salidas Graficas\Mapas anuales Incendios_2014_2015.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inline>
        </w:drawing>
      </w:r>
    </w:p>
    <w:p w:rsidR="00893B38" w:rsidRDefault="00893B38" w:rsidP="00893B38">
      <w:pPr>
        <w:widowControl w:val="0"/>
        <w:pBdr>
          <w:top w:val="nil"/>
          <w:left w:val="nil"/>
          <w:bottom w:val="nil"/>
          <w:right w:val="nil"/>
          <w:between w:val="nil"/>
        </w:pBdr>
        <w:spacing w:after="120"/>
        <w:jc w:val="center"/>
        <w:rPr>
          <w:rStyle w:val="Normal"/>
          <w:snapToGrid w:val="0"/>
          <w:color w:val="000000"/>
          <w:w w:val="0"/>
          <w:sz w:val="0"/>
          <w:szCs w:val="0"/>
          <w:u w:color="000000"/>
          <w:bdr w:val="none" w:sz="0" w:space="0" w:color="000000"/>
          <w:shd w:val="clear" w:color="000000" w:fill="000000"/>
          <w:lang w:val="x-none" w:eastAsia="x-none" w:bidi="x-none"/>
        </w:rPr>
      </w:pPr>
      <w:r w:rsidRPr="00893B38">
        <w:rPr>
          <w:rFonts w:ascii="Arial" w:eastAsia="Arial" w:hAnsi="Arial" w:cs="Arial"/>
          <w:noProof/>
          <w:sz w:val="22"/>
          <w:szCs w:val="22"/>
          <w:lang w:val="en-US"/>
        </w:rPr>
        <w:drawing>
          <wp:inline distT="0" distB="0" distL="0" distR="0">
            <wp:extent cx="2156460" cy="2156460"/>
            <wp:effectExtent l="0" t="0" r="0" b="0"/>
            <wp:docPr id="18" name="Imagen 18" descr="F:\Temporales cuarentena\Incendios\AQ_2011-2023\Salidas Graficas\Mapas anuales Incendios_2015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Temporales cuarentena\Incendios\AQ_2011-2023\Salidas Graficas\Mapas anuales Incendios_2015_2016.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inline>
        </w:drawing>
      </w:r>
      <w:r w:rsidRPr="00893B38">
        <w:rPr>
          <w:rFonts w:ascii="Arial" w:eastAsia="Arial" w:hAnsi="Arial" w:cs="Arial"/>
          <w:noProof/>
          <w:sz w:val="22"/>
          <w:szCs w:val="22"/>
          <w:lang w:val="en-US"/>
        </w:rPr>
        <w:drawing>
          <wp:inline distT="0" distB="0" distL="0" distR="0">
            <wp:extent cx="2156460" cy="2156460"/>
            <wp:effectExtent l="0" t="0" r="0" b="0"/>
            <wp:docPr id="19" name="Imagen 19" descr="F:\Temporales cuarentena\Incendios\AQ_2011-2023\Salidas Graficas\Mapas anuales Incendios_2016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Temporales cuarentena\Incendios\AQ_2011-2023\Salidas Graficas\Mapas anuales Incendios_2016_2017.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inline>
        </w:drawing>
      </w:r>
    </w:p>
    <w:p w:rsidR="00893B38" w:rsidRDefault="00893B38" w:rsidP="00893B38">
      <w:pPr>
        <w:widowControl w:val="0"/>
        <w:pBdr>
          <w:top w:val="nil"/>
          <w:left w:val="nil"/>
          <w:bottom w:val="nil"/>
          <w:right w:val="nil"/>
          <w:between w:val="nil"/>
        </w:pBdr>
        <w:spacing w:after="120"/>
        <w:jc w:val="center"/>
        <w:rPr>
          <w:rStyle w:val="Normal"/>
          <w:snapToGrid w:val="0"/>
          <w:color w:val="000000"/>
          <w:w w:val="0"/>
          <w:sz w:val="0"/>
          <w:szCs w:val="0"/>
          <w:u w:color="000000"/>
          <w:bdr w:val="none" w:sz="0" w:space="0" w:color="000000"/>
          <w:shd w:val="clear" w:color="000000" w:fill="000000"/>
          <w:lang w:val="x-none" w:eastAsia="x-none" w:bidi="x-none"/>
        </w:rPr>
      </w:pPr>
      <w:r w:rsidRPr="00893B38">
        <w:rPr>
          <w:rFonts w:ascii="Arial" w:eastAsia="Arial" w:hAnsi="Arial" w:cs="Arial"/>
          <w:noProof/>
          <w:sz w:val="22"/>
          <w:szCs w:val="22"/>
          <w:lang w:val="en-US"/>
        </w:rPr>
        <w:lastRenderedPageBreak/>
        <w:drawing>
          <wp:inline distT="0" distB="0" distL="0" distR="0">
            <wp:extent cx="2156460" cy="2156460"/>
            <wp:effectExtent l="0" t="0" r="0" b="0"/>
            <wp:docPr id="20" name="Imagen 20" descr="F:\Temporales cuarentena\Incendios\AQ_2011-2023\Salidas Graficas\Mapas anuales Incendios_2017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Temporales cuarentena\Incendios\AQ_2011-2023\Salidas Graficas\Mapas anuales Incendios_2017_2018.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inline>
        </w:drawing>
      </w:r>
      <w:r w:rsidRPr="00893B38">
        <w:rPr>
          <w:rFonts w:ascii="Arial" w:eastAsia="Arial" w:hAnsi="Arial" w:cs="Arial"/>
          <w:noProof/>
          <w:sz w:val="22"/>
          <w:szCs w:val="22"/>
          <w:lang w:val="en-US"/>
        </w:rPr>
        <w:drawing>
          <wp:inline distT="0" distB="0" distL="0" distR="0">
            <wp:extent cx="2156460" cy="2156460"/>
            <wp:effectExtent l="0" t="0" r="0" b="0"/>
            <wp:docPr id="21" name="Imagen 21" descr="F:\Temporales cuarentena\Incendios\AQ_2011-2023\Salidas Graficas\Mapas anuales Incendios_2018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Temporales cuarentena\Incendios\AQ_2011-2023\Salidas Graficas\Mapas anuales Incendios_2018_2019.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inline>
        </w:drawing>
      </w:r>
    </w:p>
    <w:p w:rsidR="00893B38" w:rsidRDefault="00893B38" w:rsidP="00D608FA">
      <w:pPr>
        <w:widowControl w:val="0"/>
        <w:pBdr>
          <w:top w:val="nil"/>
          <w:left w:val="nil"/>
          <w:bottom w:val="nil"/>
          <w:right w:val="nil"/>
          <w:between w:val="nil"/>
        </w:pBdr>
        <w:spacing w:after="120"/>
        <w:rPr>
          <w:rFonts w:ascii="Arial" w:eastAsia="Arial" w:hAnsi="Arial" w:cs="Arial"/>
          <w:sz w:val="22"/>
          <w:szCs w:val="22"/>
        </w:rPr>
      </w:pPr>
    </w:p>
    <w:p w:rsidR="00893B38" w:rsidRDefault="00893B38" w:rsidP="00893B38">
      <w:pPr>
        <w:widowControl w:val="0"/>
        <w:pBdr>
          <w:top w:val="nil"/>
          <w:left w:val="nil"/>
          <w:bottom w:val="nil"/>
          <w:right w:val="nil"/>
          <w:between w:val="nil"/>
        </w:pBdr>
        <w:spacing w:after="120"/>
        <w:jc w:val="center"/>
        <w:rPr>
          <w:rStyle w:val="Normal"/>
          <w:snapToGrid w:val="0"/>
          <w:color w:val="000000"/>
          <w:w w:val="0"/>
          <w:sz w:val="0"/>
          <w:szCs w:val="0"/>
          <w:u w:color="000000"/>
          <w:bdr w:val="none" w:sz="0" w:space="0" w:color="000000"/>
          <w:shd w:val="clear" w:color="000000" w:fill="000000"/>
          <w:lang w:val="x-none" w:eastAsia="x-none" w:bidi="x-none"/>
        </w:rPr>
      </w:pPr>
      <w:r w:rsidRPr="00893B38">
        <w:rPr>
          <w:rFonts w:ascii="Arial" w:eastAsia="Arial" w:hAnsi="Arial" w:cs="Arial"/>
          <w:noProof/>
          <w:sz w:val="22"/>
          <w:szCs w:val="22"/>
          <w:lang w:val="en-US"/>
        </w:rPr>
        <w:drawing>
          <wp:inline distT="0" distB="0" distL="0" distR="0">
            <wp:extent cx="2156460" cy="2156460"/>
            <wp:effectExtent l="0" t="0" r="0" b="0"/>
            <wp:docPr id="22" name="Imagen 22" descr="F:\Temporales cuarentena\Incendios\AQ_2011-2023\Salidas Graficas\Mapas anuales Incendios_2019_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Temporales cuarentena\Incendios\AQ_2011-2023\Salidas Graficas\Mapas anuales Incendios_2019_202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inline>
        </w:drawing>
      </w:r>
      <w:r w:rsidRPr="00893B38">
        <w:rPr>
          <w:rFonts w:ascii="Arial" w:eastAsia="Arial" w:hAnsi="Arial" w:cs="Arial"/>
          <w:noProof/>
          <w:sz w:val="22"/>
          <w:szCs w:val="22"/>
          <w:lang w:val="en-US"/>
        </w:rPr>
        <w:drawing>
          <wp:inline distT="0" distB="0" distL="0" distR="0">
            <wp:extent cx="2156460" cy="2156460"/>
            <wp:effectExtent l="0" t="0" r="0" b="0"/>
            <wp:docPr id="23" name="Imagen 23" descr="F:\Temporales cuarentena\Incendios\AQ_2011-2023\Salidas Graficas\Mapas anuales Incendios_2020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Temporales cuarentena\Incendios\AQ_2011-2023\Salidas Graficas\Mapas anuales Incendios_2020_202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inline>
        </w:drawing>
      </w:r>
    </w:p>
    <w:p w:rsidR="00D608FA" w:rsidRDefault="00893B38" w:rsidP="00893B38">
      <w:pPr>
        <w:widowControl w:val="0"/>
        <w:pBdr>
          <w:top w:val="nil"/>
          <w:left w:val="nil"/>
          <w:bottom w:val="nil"/>
          <w:right w:val="nil"/>
          <w:between w:val="nil"/>
        </w:pBdr>
        <w:spacing w:after="120"/>
        <w:jc w:val="center"/>
        <w:rPr>
          <w:rFonts w:ascii="Arial" w:eastAsia="Arial" w:hAnsi="Arial" w:cs="Arial"/>
          <w:sz w:val="22"/>
          <w:szCs w:val="22"/>
        </w:rPr>
      </w:pPr>
      <w:r w:rsidRPr="00893B38">
        <w:rPr>
          <w:rFonts w:ascii="Arial" w:eastAsia="Arial" w:hAnsi="Arial" w:cs="Arial"/>
          <w:noProof/>
          <w:sz w:val="22"/>
          <w:szCs w:val="22"/>
          <w:lang w:val="en-US"/>
        </w:rPr>
        <w:drawing>
          <wp:inline distT="0" distB="0" distL="0" distR="0">
            <wp:extent cx="2156460" cy="2156460"/>
            <wp:effectExtent l="0" t="0" r="0" b="0"/>
            <wp:docPr id="24" name="Imagen 24" descr="F:\Temporales cuarentena\Incendios\AQ_2011-2023\Salidas Graficas\Mapas anuales Incendios_2021_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Temporales cuarentena\Incendios\AQ_2011-2023\Salidas Graficas\Mapas anuales Incendios_2021_2022.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inline>
        </w:drawing>
      </w:r>
      <w:r w:rsidRPr="00893B38">
        <w:rPr>
          <w:rFonts w:ascii="Arial" w:eastAsia="Arial" w:hAnsi="Arial" w:cs="Arial"/>
          <w:noProof/>
          <w:sz w:val="22"/>
          <w:szCs w:val="22"/>
          <w:lang w:val="en-US"/>
        </w:rPr>
        <w:drawing>
          <wp:inline distT="0" distB="0" distL="0" distR="0">
            <wp:extent cx="2156460" cy="2156460"/>
            <wp:effectExtent l="0" t="0" r="0" b="0"/>
            <wp:docPr id="25" name="Imagen 25" descr="F:\Temporales cuarentena\Incendios\AQ_2011-2023\Salidas Graficas\Mapas anuales Incendios_2022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Temporales cuarentena\Incendios\AQ_2011-2023\Salidas Graficas\Mapas anuales Incendios_2022_2023.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inline>
        </w:drawing>
      </w:r>
      <w:r w:rsidR="00E81F89">
        <w:rPr>
          <w:rFonts w:ascii="Arial" w:eastAsia="Arial" w:hAnsi="Arial" w:cs="Arial"/>
          <w:sz w:val="22"/>
          <w:szCs w:val="22"/>
        </w:rPr>
        <w:tab/>
      </w:r>
    </w:p>
    <w:sectPr w:rsidR="00D608FA">
      <w:pgSz w:w="11906" w:h="16838"/>
      <w:pgMar w:top="2835" w:right="1985" w:bottom="2835"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7A8" w:rsidRDefault="000827A8">
      <w:r>
        <w:separator/>
      </w:r>
    </w:p>
  </w:endnote>
  <w:endnote w:type="continuationSeparator" w:id="0">
    <w:p w:rsidR="000827A8" w:rsidRDefault="0008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7A8" w:rsidRDefault="000827A8">
      <w:r>
        <w:separator/>
      </w:r>
    </w:p>
  </w:footnote>
  <w:footnote w:type="continuationSeparator" w:id="0">
    <w:p w:rsidR="000827A8" w:rsidRDefault="000827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92016"/>
    <w:multiLevelType w:val="multilevel"/>
    <w:tmpl w:val="5EB23746"/>
    <w:lvl w:ilvl="0">
      <w:start w:val="1"/>
      <w:numFmt w:val="bullet"/>
      <w:pStyle w:val="Titulocapitulo"/>
      <w:lvlText w:val="●"/>
      <w:lvlJc w:val="left"/>
      <w:pPr>
        <w:ind w:left="720" w:hanging="360"/>
      </w:pPr>
      <w:rPr>
        <w:rFonts w:ascii="Noto Sans Symbols" w:eastAsia="Noto Sans Symbols" w:hAnsi="Noto Sans Symbols" w:cs="Noto Sans Symbols"/>
        <w:u w:val="none"/>
      </w:rPr>
    </w:lvl>
    <w:lvl w:ilvl="1">
      <w:start w:val="1"/>
      <w:numFmt w:val="lowerLetter"/>
      <w:pStyle w:val="Encabezado1"/>
      <w:lvlText w:val="%2."/>
      <w:lvlJc w:val="left"/>
      <w:pPr>
        <w:ind w:left="1440" w:hanging="360"/>
      </w:pPr>
      <w:rPr>
        <w:u w:val="none"/>
      </w:rPr>
    </w:lvl>
    <w:lvl w:ilvl="2">
      <w:start w:val="1"/>
      <w:numFmt w:val="lowerRoman"/>
      <w:pStyle w:val="Encabezado2"/>
      <w:lvlText w:val="%3."/>
      <w:lvlJc w:val="right"/>
      <w:pPr>
        <w:ind w:left="2160" w:hanging="360"/>
      </w:pPr>
      <w:rPr>
        <w:u w:val="none"/>
      </w:rPr>
    </w:lvl>
    <w:lvl w:ilvl="3">
      <w:start w:val="1"/>
      <w:numFmt w:val="decimal"/>
      <w:pStyle w:val="Encabezado3"/>
      <w:lvlText w:val="%4."/>
      <w:lvlJc w:val="left"/>
      <w:pPr>
        <w:ind w:left="2880" w:hanging="360"/>
      </w:pPr>
      <w:rPr>
        <w:u w:val="none"/>
      </w:rPr>
    </w:lvl>
    <w:lvl w:ilvl="4">
      <w:start w:val="1"/>
      <w:numFmt w:val="lowerLetter"/>
      <w:pStyle w:val="Encabezado4"/>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8B50CA7"/>
    <w:multiLevelType w:val="multilevel"/>
    <w:tmpl w:val="2C7CD9F4"/>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1B"/>
    <w:rsid w:val="000827A8"/>
    <w:rsid w:val="000D001B"/>
    <w:rsid w:val="00205AE5"/>
    <w:rsid w:val="00496D10"/>
    <w:rsid w:val="00543075"/>
    <w:rsid w:val="00596576"/>
    <w:rsid w:val="00893B38"/>
    <w:rsid w:val="009C6D4A"/>
    <w:rsid w:val="00A831C5"/>
    <w:rsid w:val="00B01ACB"/>
    <w:rsid w:val="00BB5CA4"/>
    <w:rsid w:val="00CA4E37"/>
    <w:rsid w:val="00CA61A4"/>
    <w:rsid w:val="00D608FA"/>
    <w:rsid w:val="00E8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2C07"/>
  <w15:docId w15:val="{7F0FEA5A-D12D-4A60-A408-DD4B1469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aliases w:val="Parrafo Normal Texto"/>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1"/>
    <w:next w:val="Normal1"/>
    <w:pPr>
      <w:keepNext/>
      <w:keepLines/>
      <w:numPr>
        <w:ilvl w:val="1"/>
        <w:numId w:val="1"/>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1"/>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1"/>
    <w:pPr>
      <w:numPr>
        <w:ilvl w:val="3"/>
      </w:numPr>
      <w:spacing w:before="120"/>
      <w:ind w:left="-1" w:firstLine="227"/>
      <w:outlineLvl w:val="3"/>
    </w:pPr>
    <w:rPr>
      <w:b w:val="0"/>
    </w:rPr>
  </w:style>
  <w:style w:type="paragraph" w:styleId="Prrafodelista">
    <w:name w:val="List Paragraph"/>
    <w:basedOn w:val="Normal1"/>
    <w:pPr>
      <w:ind w:left="720"/>
      <w:contextualSpacing/>
    </w:pPr>
  </w:style>
  <w:style w:type="paragraph" w:customStyle="1" w:styleId="Encabezado4">
    <w:name w:val="Encabezado 4"/>
    <w:basedOn w:val="Encabezado3"/>
    <w:next w:val="Normal1"/>
    <w:pPr>
      <w:numPr>
        <w:ilvl w:val="4"/>
      </w:numPr>
      <w:tabs>
        <w:tab w:val="left" w:pos="1021"/>
      </w:tabs>
      <w:ind w:left="-1" w:firstLine="227"/>
    </w:pPr>
  </w:style>
  <w:style w:type="paragraph" w:customStyle="1" w:styleId="Titulocapitulo">
    <w:name w:val="Titulo capitulo"/>
    <w:basedOn w:val="Normal1"/>
    <w:next w:val="Normal1"/>
    <w:pPr>
      <w:keepNext/>
      <w:numPr>
        <w:numId w:val="1"/>
      </w:numPr>
      <w:spacing w:after="240"/>
      <w:ind w:left="-1" w:firstLine="227"/>
      <w:jc w:val="center"/>
    </w:pPr>
    <w:rPr>
      <w:b/>
      <w:sz w:val="32"/>
      <w:lang w:val="es-ES"/>
    </w:rPr>
  </w:style>
  <w:style w:type="character" w:styleId="Hipervnculo">
    <w:name w:val="Hyperlink"/>
    <w:rPr>
      <w:color w:val="0000FF"/>
      <w:w w:val="100"/>
      <w:position w:val="-1"/>
      <w:u w:val="single"/>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EC7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4.emf"/><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image" Target="media/image1.emf"/><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ebastianpereyraf@gmail.com" TargetMode="External"/><Relationship Id="rId14" Type="http://schemas.openxmlformats.org/officeDocument/2006/relationships/chart" Target="charts/chart4.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s>
</file>

<file path=word/charts/_rels/chart1.xml.rels><?xml version="1.0" encoding="UTF-8" standalone="yes"?>
<Relationships xmlns="http://schemas.openxmlformats.org/package/2006/relationships"><Relationship Id="rId3" Type="http://schemas.openxmlformats.org/officeDocument/2006/relationships/oleObject" Target="file:///F:\Temporales%20cuarentena\Incendios\AQ_2011-2023\Superficies_aq_temporadas_intersecOTB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Temporales%20cuarentena\Incendios\AQ_2011-2023\Superficies_aq_temporadas_intersecOTB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Temporales%20cuarentena\Incendios\AQ_2011-2023\Superficies_aq_temporadas_intersecOTB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Temporales%20cuarentena\Incendios\AQ_2011-2023\Superficies_aq_temporadas_intersecOTB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aq_superficies!$A$5</c:f>
              <c:strCache>
                <c:ptCount val="1"/>
                <c:pt idx="0">
                  <c:v>2011-2012</c:v>
                </c:pt>
              </c:strCache>
            </c:strRef>
          </c:tx>
          <c:spPr>
            <a:solidFill>
              <a:schemeClr val="accent2"/>
            </a:solidFill>
            <a:ln>
              <a:noFill/>
            </a:ln>
            <a:effectLst/>
          </c:spPr>
          <c:invertIfNegative val="0"/>
          <c:cat>
            <c:numRef>
              <c:f>aq_superficies!$B$4:$E$4</c:f>
              <c:numCache>
                <c:formatCode>General</c:formatCode>
                <c:ptCount val="4"/>
                <c:pt idx="0">
                  <c:v>11</c:v>
                </c:pt>
                <c:pt idx="1">
                  <c:v>12</c:v>
                </c:pt>
                <c:pt idx="2">
                  <c:v>1</c:v>
                </c:pt>
                <c:pt idx="3">
                  <c:v>2</c:v>
                </c:pt>
              </c:numCache>
            </c:numRef>
          </c:cat>
          <c:val>
            <c:numRef>
              <c:f>aq_superficies!$B$5:$E$5</c:f>
              <c:numCache>
                <c:formatCode>0</c:formatCode>
                <c:ptCount val="4"/>
                <c:pt idx="0">
                  <c:v>0</c:v>
                </c:pt>
                <c:pt idx="1">
                  <c:v>80317.578071914017</c:v>
                </c:pt>
                <c:pt idx="2">
                  <c:v>25573.922220221</c:v>
                </c:pt>
                <c:pt idx="3">
                  <c:v>286.02207742100001</c:v>
                </c:pt>
              </c:numCache>
            </c:numRef>
          </c:val>
          <c:extLst>
            <c:ext xmlns:c16="http://schemas.microsoft.com/office/drawing/2014/chart" uri="{C3380CC4-5D6E-409C-BE32-E72D297353CC}">
              <c16:uniqueId val="{00000000-F883-481C-A54C-4B927CBF66E2}"/>
            </c:ext>
          </c:extLst>
        </c:ser>
        <c:ser>
          <c:idx val="2"/>
          <c:order val="1"/>
          <c:tx>
            <c:strRef>
              <c:f>aq_superficies!$A$6</c:f>
              <c:strCache>
                <c:ptCount val="1"/>
                <c:pt idx="0">
                  <c:v>2012-2013</c:v>
                </c:pt>
              </c:strCache>
            </c:strRef>
          </c:tx>
          <c:spPr>
            <a:solidFill>
              <a:schemeClr val="accent3"/>
            </a:solidFill>
            <a:ln>
              <a:noFill/>
            </a:ln>
            <a:effectLst/>
          </c:spPr>
          <c:invertIfNegative val="0"/>
          <c:cat>
            <c:numRef>
              <c:f>aq_superficies!$B$4:$E$4</c:f>
              <c:numCache>
                <c:formatCode>General</c:formatCode>
                <c:ptCount val="4"/>
                <c:pt idx="0">
                  <c:v>11</c:v>
                </c:pt>
                <c:pt idx="1">
                  <c:v>12</c:v>
                </c:pt>
                <c:pt idx="2">
                  <c:v>1</c:v>
                </c:pt>
                <c:pt idx="3">
                  <c:v>2</c:v>
                </c:pt>
              </c:numCache>
            </c:numRef>
          </c:cat>
          <c:val>
            <c:numRef>
              <c:f>aq_superficies!$B$6:$E$6</c:f>
              <c:numCache>
                <c:formatCode>0</c:formatCode>
                <c:ptCount val="4"/>
                <c:pt idx="0">
                  <c:v>0</c:v>
                </c:pt>
                <c:pt idx="1">
                  <c:v>0</c:v>
                </c:pt>
                <c:pt idx="2">
                  <c:v>7828.9420931802988</c:v>
                </c:pt>
                <c:pt idx="3">
                  <c:v>9772.9293799205007</c:v>
                </c:pt>
              </c:numCache>
            </c:numRef>
          </c:val>
          <c:extLst>
            <c:ext xmlns:c16="http://schemas.microsoft.com/office/drawing/2014/chart" uri="{C3380CC4-5D6E-409C-BE32-E72D297353CC}">
              <c16:uniqueId val="{00000001-F883-481C-A54C-4B927CBF66E2}"/>
            </c:ext>
          </c:extLst>
        </c:ser>
        <c:ser>
          <c:idx val="3"/>
          <c:order val="2"/>
          <c:tx>
            <c:strRef>
              <c:f>aq_superficies!$A$7</c:f>
              <c:strCache>
                <c:ptCount val="1"/>
                <c:pt idx="0">
                  <c:v>2013-2014</c:v>
                </c:pt>
              </c:strCache>
            </c:strRef>
          </c:tx>
          <c:spPr>
            <a:solidFill>
              <a:schemeClr val="accent4"/>
            </a:solidFill>
            <a:ln>
              <a:noFill/>
            </a:ln>
            <a:effectLst/>
          </c:spPr>
          <c:invertIfNegative val="0"/>
          <c:cat>
            <c:numRef>
              <c:f>aq_superficies!$B$4:$E$4</c:f>
              <c:numCache>
                <c:formatCode>General</c:formatCode>
                <c:ptCount val="4"/>
                <c:pt idx="0">
                  <c:v>11</c:v>
                </c:pt>
                <c:pt idx="1">
                  <c:v>12</c:v>
                </c:pt>
                <c:pt idx="2">
                  <c:v>1</c:v>
                </c:pt>
                <c:pt idx="3">
                  <c:v>2</c:v>
                </c:pt>
              </c:numCache>
            </c:numRef>
          </c:cat>
          <c:val>
            <c:numRef>
              <c:f>aq_superficies!$B$7:$E$7</c:f>
              <c:numCache>
                <c:formatCode>0</c:formatCode>
                <c:ptCount val="4"/>
                <c:pt idx="0">
                  <c:v>744.860360689</c:v>
                </c:pt>
                <c:pt idx="1">
                  <c:v>50200.3067542348</c:v>
                </c:pt>
                <c:pt idx="2">
                  <c:v>412842.98836367455</c:v>
                </c:pt>
                <c:pt idx="3">
                  <c:v>3215.4771200222999</c:v>
                </c:pt>
              </c:numCache>
            </c:numRef>
          </c:val>
          <c:extLst>
            <c:ext xmlns:c16="http://schemas.microsoft.com/office/drawing/2014/chart" uri="{C3380CC4-5D6E-409C-BE32-E72D297353CC}">
              <c16:uniqueId val="{00000002-F883-481C-A54C-4B927CBF66E2}"/>
            </c:ext>
          </c:extLst>
        </c:ser>
        <c:ser>
          <c:idx val="4"/>
          <c:order val="3"/>
          <c:tx>
            <c:strRef>
              <c:f>aq_superficies!$A$8</c:f>
              <c:strCache>
                <c:ptCount val="1"/>
                <c:pt idx="0">
                  <c:v>2014-2015</c:v>
                </c:pt>
              </c:strCache>
            </c:strRef>
          </c:tx>
          <c:spPr>
            <a:solidFill>
              <a:schemeClr val="accent5"/>
            </a:solidFill>
            <a:ln>
              <a:noFill/>
            </a:ln>
            <a:effectLst/>
          </c:spPr>
          <c:invertIfNegative val="0"/>
          <c:cat>
            <c:numRef>
              <c:f>aq_superficies!$B$4:$E$4</c:f>
              <c:numCache>
                <c:formatCode>General</c:formatCode>
                <c:ptCount val="4"/>
                <c:pt idx="0">
                  <c:v>11</c:v>
                </c:pt>
                <c:pt idx="1">
                  <c:v>12</c:v>
                </c:pt>
                <c:pt idx="2">
                  <c:v>1</c:v>
                </c:pt>
                <c:pt idx="3">
                  <c:v>2</c:v>
                </c:pt>
              </c:numCache>
            </c:numRef>
          </c:cat>
          <c:val>
            <c:numRef>
              <c:f>aq_superficies!$B$8:$E$8</c:f>
              <c:numCache>
                <c:formatCode>0</c:formatCode>
                <c:ptCount val="4"/>
                <c:pt idx="0">
                  <c:v>627.24139785199998</c:v>
                </c:pt>
                <c:pt idx="1">
                  <c:v>16717.893945047002</c:v>
                </c:pt>
                <c:pt idx="2">
                  <c:v>219397.72062166993</c:v>
                </c:pt>
                <c:pt idx="3">
                  <c:v>8470.9255695589</c:v>
                </c:pt>
              </c:numCache>
            </c:numRef>
          </c:val>
          <c:extLst>
            <c:ext xmlns:c16="http://schemas.microsoft.com/office/drawing/2014/chart" uri="{C3380CC4-5D6E-409C-BE32-E72D297353CC}">
              <c16:uniqueId val="{00000003-F883-481C-A54C-4B927CBF66E2}"/>
            </c:ext>
          </c:extLst>
        </c:ser>
        <c:ser>
          <c:idx val="5"/>
          <c:order val="4"/>
          <c:tx>
            <c:strRef>
              <c:f>aq_superficies!$A$9</c:f>
              <c:strCache>
                <c:ptCount val="1"/>
                <c:pt idx="0">
                  <c:v>2015-2016</c:v>
                </c:pt>
              </c:strCache>
            </c:strRef>
          </c:tx>
          <c:spPr>
            <a:solidFill>
              <a:schemeClr val="accent6"/>
            </a:solidFill>
            <a:ln>
              <a:noFill/>
            </a:ln>
            <a:effectLst/>
          </c:spPr>
          <c:invertIfNegative val="0"/>
          <c:cat>
            <c:numRef>
              <c:f>aq_superficies!$B$4:$E$4</c:f>
              <c:numCache>
                <c:formatCode>General</c:formatCode>
                <c:ptCount val="4"/>
                <c:pt idx="0">
                  <c:v>11</c:v>
                </c:pt>
                <c:pt idx="1">
                  <c:v>12</c:v>
                </c:pt>
                <c:pt idx="2">
                  <c:v>1</c:v>
                </c:pt>
                <c:pt idx="3">
                  <c:v>2</c:v>
                </c:pt>
              </c:numCache>
            </c:numRef>
          </c:cat>
          <c:val>
            <c:numRef>
              <c:f>aq_superficies!$B$9:$E$9</c:f>
              <c:numCache>
                <c:formatCode>0</c:formatCode>
                <c:ptCount val="4"/>
                <c:pt idx="0">
                  <c:v>4992.0630755263001</c:v>
                </c:pt>
                <c:pt idx="1">
                  <c:v>7451.3823799080001</c:v>
                </c:pt>
                <c:pt idx="2">
                  <c:v>63749.397297431104</c:v>
                </c:pt>
                <c:pt idx="3">
                  <c:v>1099.2853526935</c:v>
                </c:pt>
              </c:numCache>
            </c:numRef>
          </c:val>
          <c:extLst>
            <c:ext xmlns:c16="http://schemas.microsoft.com/office/drawing/2014/chart" uri="{C3380CC4-5D6E-409C-BE32-E72D297353CC}">
              <c16:uniqueId val="{00000004-F883-481C-A54C-4B927CBF66E2}"/>
            </c:ext>
          </c:extLst>
        </c:ser>
        <c:ser>
          <c:idx val="6"/>
          <c:order val="5"/>
          <c:tx>
            <c:strRef>
              <c:f>aq_superficies!$A$10</c:f>
              <c:strCache>
                <c:ptCount val="1"/>
                <c:pt idx="0">
                  <c:v>2016-2017</c:v>
                </c:pt>
              </c:strCache>
            </c:strRef>
          </c:tx>
          <c:spPr>
            <a:solidFill>
              <a:schemeClr val="accent1">
                <a:lumMod val="60000"/>
              </a:schemeClr>
            </a:solidFill>
            <a:ln>
              <a:noFill/>
            </a:ln>
            <a:effectLst/>
          </c:spPr>
          <c:invertIfNegative val="0"/>
          <c:cat>
            <c:numRef>
              <c:f>aq_superficies!$B$4:$E$4</c:f>
              <c:numCache>
                <c:formatCode>General</c:formatCode>
                <c:ptCount val="4"/>
                <c:pt idx="0">
                  <c:v>11</c:v>
                </c:pt>
                <c:pt idx="1">
                  <c:v>12</c:v>
                </c:pt>
                <c:pt idx="2">
                  <c:v>1</c:v>
                </c:pt>
                <c:pt idx="3">
                  <c:v>2</c:v>
                </c:pt>
              </c:numCache>
            </c:numRef>
          </c:cat>
          <c:val>
            <c:numRef>
              <c:f>aq_superficies!$B$10:$E$10</c:f>
              <c:numCache>
                <c:formatCode>0</c:formatCode>
                <c:ptCount val="4"/>
                <c:pt idx="0">
                  <c:v>303.26655031500002</c:v>
                </c:pt>
                <c:pt idx="1">
                  <c:v>285021.61318273918</c:v>
                </c:pt>
                <c:pt idx="2">
                  <c:v>890196.75672130275</c:v>
                </c:pt>
                <c:pt idx="3">
                  <c:v>101134.75574489219</c:v>
                </c:pt>
              </c:numCache>
            </c:numRef>
          </c:val>
          <c:extLst>
            <c:ext xmlns:c16="http://schemas.microsoft.com/office/drawing/2014/chart" uri="{C3380CC4-5D6E-409C-BE32-E72D297353CC}">
              <c16:uniqueId val="{00000005-F883-481C-A54C-4B927CBF66E2}"/>
            </c:ext>
          </c:extLst>
        </c:ser>
        <c:ser>
          <c:idx val="7"/>
          <c:order val="6"/>
          <c:tx>
            <c:strRef>
              <c:f>aq_superficies!$A$11</c:f>
              <c:strCache>
                <c:ptCount val="1"/>
                <c:pt idx="0">
                  <c:v>2017-2018</c:v>
                </c:pt>
              </c:strCache>
            </c:strRef>
          </c:tx>
          <c:spPr>
            <a:solidFill>
              <a:schemeClr val="accent2">
                <a:lumMod val="60000"/>
              </a:schemeClr>
            </a:solidFill>
            <a:ln>
              <a:noFill/>
            </a:ln>
            <a:effectLst/>
          </c:spPr>
          <c:invertIfNegative val="0"/>
          <c:cat>
            <c:numRef>
              <c:f>aq_superficies!$B$4:$E$4</c:f>
              <c:numCache>
                <c:formatCode>General</c:formatCode>
                <c:ptCount val="4"/>
                <c:pt idx="0">
                  <c:v>11</c:v>
                </c:pt>
                <c:pt idx="1">
                  <c:v>12</c:v>
                </c:pt>
                <c:pt idx="2">
                  <c:v>1</c:v>
                </c:pt>
                <c:pt idx="3">
                  <c:v>2</c:v>
                </c:pt>
              </c:numCache>
            </c:numRef>
          </c:cat>
          <c:val>
            <c:numRef>
              <c:f>aq_superficies!$B$11:$E$11</c:f>
              <c:numCache>
                <c:formatCode>0</c:formatCode>
                <c:ptCount val="4"/>
                <c:pt idx="0">
                  <c:v>13138.763029384902</c:v>
                </c:pt>
                <c:pt idx="1">
                  <c:v>23962.807915808604</c:v>
                </c:pt>
                <c:pt idx="2">
                  <c:v>593289.07179485471</c:v>
                </c:pt>
                <c:pt idx="3">
                  <c:v>216741.74208432258</c:v>
                </c:pt>
              </c:numCache>
            </c:numRef>
          </c:val>
          <c:extLst>
            <c:ext xmlns:c16="http://schemas.microsoft.com/office/drawing/2014/chart" uri="{C3380CC4-5D6E-409C-BE32-E72D297353CC}">
              <c16:uniqueId val="{00000006-F883-481C-A54C-4B927CBF66E2}"/>
            </c:ext>
          </c:extLst>
        </c:ser>
        <c:ser>
          <c:idx val="8"/>
          <c:order val="7"/>
          <c:tx>
            <c:strRef>
              <c:f>aq_superficies!$A$12</c:f>
              <c:strCache>
                <c:ptCount val="1"/>
                <c:pt idx="0">
                  <c:v>2018-2019</c:v>
                </c:pt>
              </c:strCache>
            </c:strRef>
          </c:tx>
          <c:spPr>
            <a:solidFill>
              <a:schemeClr val="accent3">
                <a:lumMod val="60000"/>
              </a:schemeClr>
            </a:solidFill>
            <a:ln>
              <a:noFill/>
            </a:ln>
            <a:effectLst/>
          </c:spPr>
          <c:invertIfNegative val="0"/>
          <c:cat>
            <c:numRef>
              <c:f>aq_superficies!$B$4:$E$4</c:f>
              <c:numCache>
                <c:formatCode>General</c:formatCode>
                <c:ptCount val="4"/>
                <c:pt idx="0">
                  <c:v>11</c:v>
                </c:pt>
                <c:pt idx="1">
                  <c:v>12</c:v>
                </c:pt>
                <c:pt idx="2">
                  <c:v>1</c:v>
                </c:pt>
                <c:pt idx="3">
                  <c:v>2</c:v>
                </c:pt>
              </c:numCache>
            </c:numRef>
          </c:cat>
          <c:val>
            <c:numRef>
              <c:f>aq_superficies!$B$12:$E$12</c:f>
              <c:numCache>
                <c:formatCode>0</c:formatCode>
                <c:ptCount val="4"/>
                <c:pt idx="0">
                  <c:v>1066.475033769</c:v>
                </c:pt>
                <c:pt idx="1">
                  <c:v>44368.469388382982</c:v>
                </c:pt>
                <c:pt idx="2">
                  <c:v>50011.678310097777</c:v>
                </c:pt>
                <c:pt idx="3">
                  <c:v>56926.978247186868</c:v>
                </c:pt>
              </c:numCache>
            </c:numRef>
          </c:val>
          <c:extLst>
            <c:ext xmlns:c16="http://schemas.microsoft.com/office/drawing/2014/chart" uri="{C3380CC4-5D6E-409C-BE32-E72D297353CC}">
              <c16:uniqueId val="{00000007-F883-481C-A54C-4B927CBF66E2}"/>
            </c:ext>
          </c:extLst>
        </c:ser>
        <c:ser>
          <c:idx val="9"/>
          <c:order val="8"/>
          <c:tx>
            <c:strRef>
              <c:f>aq_superficies!$A$13</c:f>
              <c:strCache>
                <c:ptCount val="1"/>
                <c:pt idx="0">
                  <c:v>2019-2020</c:v>
                </c:pt>
              </c:strCache>
            </c:strRef>
          </c:tx>
          <c:spPr>
            <a:solidFill>
              <a:schemeClr val="accent4">
                <a:lumMod val="60000"/>
              </a:schemeClr>
            </a:solidFill>
            <a:ln>
              <a:noFill/>
            </a:ln>
            <a:effectLst/>
          </c:spPr>
          <c:invertIfNegative val="0"/>
          <c:cat>
            <c:numRef>
              <c:f>aq_superficies!$B$4:$E$4</c:f>
              <c:numCache>
                <c:formatCode>General</c:formatCode>
                <c:ptCount val="4"/>
                <c:pt idx="0">
                  <c:v>11</c:v>
                </c:pt>
                <c:pt idx="1">
                  <c:v>12</c:v>
                </c:pt>
                <c:pt idx="2">
                  <c:v>1</c:v>
                </c:pt>
                <c:pt idx="3">
                  <c:v>2</c:v>
                </c:pt>
              </c:numCache>
            </c:numRef>
          </c:cat>
          <c:val>
            <c:numRef>
              <c:f>aq_superficies!$B$13:$E$13</c:f>
              <c:numCache>
                <c:formatCode>0</c:formatCode>
                <c:ptCount val="4"/>
                <c:pt idx="0">
                  <c:v>3062.3061543904996</c:v>
                </c:pt>
                <c:pt idx="1">
                  <c:v>30548.6434925172</c:v>
                </c:pt>
                <c:pt idx="2">
                  <c:v>1184.9810116831</c:v>
                </c:pt>
                <c:pt idx="3">
                  <c:v>3384.6726788676001</c:v>
                </c:pt>
              </c:numCache>
            </c:numRef>
          </c:val>
          <c:extLst>
            <c:ext xmlns:c16="http://schemas.microsoft.com/office/drawing/2014/chart" uri="{C3380CC4-5D6E-409C-BE32-E72D297353CC}">
              <c16:uniqueId val="{00000008-F883-481C-A54C-4B927CBF66E2}"/>
            </c:ext>
          </c:extLst>
        </c:ser>
        <c:ser>
          <c:idx val="10"/>
          <c:order val="9"/>
          <c:tx>
            <c:strRef>
              <c:f>aq_superficies!$A$14</c:f>
              <c:strCache>
                <c:ptCount val="1"/>
                <c:pt idx="0">
                  <c:v>2020-2021</c:v>
                </c:pt>
              </c:strCache>
            </c:strRef>
          </c:tx>
          <c:spPr>
            <a:solidFill>
              <a:schemeClr val="accent5">
                <a:lumMod val="60000"/>
              </a:schemeClr>
            </a:solidFill>
            <a:ln>
              <a:noFill/>
            </a:ln>
            <a:effectLst/>
          </c:spPr>
          <c:invertIfNegative val="0"/>
          <c:cat>
            <c:numRef>
              <c:f>aq_superficies!$B$4:$E$4</c:f>
              <c:numCache>
                <c:formatCode>General</c:formatCode>
                <c:ptCount val="4"/>
                <c:pt idx="0">
                  <c:v>11</c:v>
                </c:pt>
                <c:pt idx="1">
                  <c:v>12</c:v>
                </c:pt>
                <c:pt idx="2">
                  <c:v>1</c:v>
                </c:pt>
                <c:pt idx="3">
                  <c:v>2</c:v>
                </c:pt>
              </c:numCache>
            </c:numRef>
          </c:cat>
          <c:val>
            <c:numRef>
              <c:f>aq_superficies!$B$14:$E$14</c:f>
              <c:numCache>
                <c:formatCode>0</c:formatCode>
                <c:ptCount val="4"/>
                <c:pt idx="0">
                  <c:v>1555.3458526269999</c:v>
                </c:pt>
                <c:pt idx="1">
                  <c:v>78331.196364759802</c:v>
                </c:pt>
                <c:pt idx="2">
                  <c:v>12481.978771309101</c:v>
                </c:pt>
                <c:pt idx="3">
                  <c:v>18669.530307082598</c:v>
                </c:pt>
              </c:numCache>
            </c:numRef>
          </c:val>
          <c:extLst>
            <c:ext xmlns:c16="http://schemas.microsoft.com/office/drawing/2014/chart" uri="{C3380CC4-5D6E-409C-BE32-E72D297353CC}">
              <c16:uniqueId val="{00000009-F883-481C-A54C-4B927CBF66E2}"/>
            </c:ext>
          </c:extLst>
        </c:ser>
        <c:ser>
          <c:idx val="11"/>
          <c:order val="10"/>
          <c:tx>
            <c:strRef>
              <c:f>aq_superficies!$A$15</c:f>
              <c:strCache>
                <c:ptCount val="1"/>
                <c:pt idx="0">
                  <c:v>2021-2022</c:v>
                </c:pt>
              </c:strCache>
            </c:strRef>
          </c:tx>
          <c:spPr>
            <a:solidFill>
              <a:schemeClr val="accent6">
                <a:lumMod val="60000"/>
              </a:schemeClr>
            </a:solidFill>
            <a:ln>
              <a:noFill/>
            </a:ln>
            <a:effectLst/>
          </c:spPr>
          <c:invertIfNegative val="0"/>
          <c:cat>
            <c:numRef>
              <c:f>aq_superficies!$B$4:$E$4</c:f>
              <c:numCache>
                <c:formatCode>General</c:formatCode>
                <c:ptCount val="4"/>
                <c:pt idx="0">
                  <c:v>11</c:v>
                </c:pt>
                <c:pt idx="1">
                  <c:v>12</c:v>
                </c:pt>
                <c:pt idx="2">
                  <c:v>1</c:v>
                </c:pt>
                <c:pt idx="3">
                  <c:v>2</c:v>
                </c:pt>
              </c:numCache>
            </c:numRef>
          </c:cat>
          <c:val>
            <c:numRef>
              <c:f>aq_superficies!$B$15:$E$15</c:f>
              <c:numCache>
                <c:formatCode>0</c:formatCode>
                <c:ptCount val="4"/>
                <c:pt idx="0">
                  <c:v>275.807003227</c:v>
                </c:pt>
                <c:pt idx="1">
                  <c:v>2263.7926100193999</c:v>
                </c:pt>
                <c:pt idx="2">
                  <c:v>36314.245362775699</c:v>
                </c:pt>
                <c:pt idx="3">
                  <c:v>7073.2444332277</c:v>
                </c:pt>
              </c:numCache>
            </c:numRef>
          </c:val>
          <c:extLst>
            <c:ext xmlns:c16="http://schemas.microsoft.com/office/drawing/2014/chart" uri="{C3380CC4-5D6E-409C-BE32-E72D297353CC}">
              <c16:uniqueId val="{0000000A-F883-481C-A54C-4B927CBF66E2}"/>
            </c:ext>
          </c:extLst>
        </c:ser>
        <c:ser>
          <c:idx val="12"/>
          <c:order val="11"/>
          <c:tx>
            <c:strRef>
              <c:f>aq_superficies!$A$16</c:f>
              <c:strCache>
                <c:ptCount val="1"/>
                <c:pt idx="0">
                  <c:v>2022-2023</c:v>
                </c:pt>
              </c:strCache>
            </c:strRef>
          </c:tx>
          <c:spPr>
            <a:solidFill>
              <a:schemeClr val="accent1">
                <a:lumMod val="80000"/>
                <a:lumOff val="20000"/>
              </a:schemeClr>
            </a:solidFill>
            <a:ln>
              <a:noFill/>
            </a:ln>
            <a:effectLst/>
          </c:spPr>
          <c:invertIfNegative val="0"/>
          <c:cat>
            <c:numRef>
              <c:f>aq_superficies!$B$4:$E$4</c:f>
              <c:numCache>
                <c:formatCode>General</c:formatCode>
                <c:ptCount val="4"/>
                <c:pt idx="0">
                  <c:v>11</c:v>
                </c:pt>
                <c:pt idx="1">
                  <c:v>12</c:v>
                </c:pt>
                <c:pt idx="2">
                  <c:v>1</c:v>
                </c:pt>
                <c:pt idx="3">
                  <c:v>2</c:v>
                </c:pt>
              </c:numCache>
            </c:numRef>
          </c:cat>
          <c:val>
            <c:numRef>
              <c:f>aq_superficies!$B$16:$E$16</c:f>
              <c:numCache>
                <c:formatCode>0</c:formatCode>
                <c:ptCount val="4"/>
                <c:pt idx="0">
                  <c:v>89090.424132832006</c:v>
                </c:pt>
                <c:pt idx="1">
                  <c:v>56702.715701792898</c:v>
                </c:pt>
                <c:pt idx="2">
                  <c:v>40662.865960781404</c:v>
                </c:pt>
                <c:pt idx="3">
                  <c:v>18829.237408030203</c:v>
                </c:pt>
              </c:numCache>
            </c:numRef>
          </c:val>
          <c:extLst>
            <c:ext xmlns:c16="http://schemas.microsoft.com/office/drawing/2014/chart" uri="{C3380CC4-5D6E-409C-BE32-E72D297353CC}">
              <c16:uniqueId val="{0000000B-F883-481C-A54C-4B927CBF66E2}"/>
            </c:ext>
          </c:extLst>
        </c:ser>
        <c:dLbls>
          <c:showLegendKey val="0"/>
          <c:showVal val="0"/>
          <c:showCatName val="0"/>
          <c:showSerName val="0"/>
          <c:showPercent val="0"/>
          <c:showBubbleSize val="0"/>
        </c:dLbls>
        <c:gapWidth val="75"/>
        <c:overlap val="100"/>
        <c:axId val="355860904"/>
        <c:axId val="355862080"/>
      </c:barChart>
      <c:catAx>
        <c:axId val="355860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AR"/>
                  <a:t>Meses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862080"/>
        <c:crosses val="autoZero"/>
        <c:auto val="1"/>
        <c:lblAlgn val="ctr"/>
        <c:lblOffset val="100"/>
        <c:noMultiLvlLbl val="0"/>
      </c:catAx>
      <c:valAx>
        <c:axId val="35586208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AR"/>
                  <a:t>Superficie (ha.)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8609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aq_otbn_mayds!$A$5</c:f>
              <c:strCache>
                <c:ptCount val="1"/>
                <c:pt idx="0">
                  <c:v>2011-2012</c:v>
                </c:pt>
              </c:strCache>
            </c:strRef>
          </c:tx>
          <c:spPr>
            <a:solidFill>
              <a:schemeClr val="accent2"/>
            </a:solidFill>
            <a:ln>
              <a:noFill/>
            </a:ln>
            <a:effectLst/>
          </c:spPr>
          <c:invertIfNegative val="0"/>
          <c:cat>
            <c:numRef>
              <c:f>aq_otbn_mayds!$B$4:$E$4</c:f>
              <c:numCache>
                <c:formatCode>General</c:formatCode>
                <c:ptCount val="4"/>
                <c:pt idx="0">
                  <c:v>11</c:v>
                </c:pt>
                <c:pt idx="1">
                  <c:v>12</c:v>
                </c:pt>
                <c:pt idx="2">
                  <c:v>1</c:v>
                </c:pt>
                <c:pt idx="3">
                  <c:v>2</c:v>
                </c:pt>
              </c:numCache>
            </c:numRef>
          </c:cat>
          <c:val>
            <c:numRef>
              <c:f>aq_otbn_mayds!$B$5:$E$5</c:f>
              <c:numCache>
                <c:formatCode>0</c:formatCode>
                <c:ptCount val="4"/>
                <c:pt idx="0">
                  <c:v>0</c:v>
                </c:pt>
                <c:pt idx="1">
                  <c:v>7162.4506968350097</c:v>
                </c:pt>
                <c:pt idx="2">
                  <c:v>14594.772324749845</c:v>
                </c:pt>
                <c:pt idx="3">
                  <c:v>286.02207742069999</c:v>
                </c:pt>
              </c:numCache>
            </c:numRef>
          </c:val>
          <c:extLst>
            <c:ext xmlns:c16="http://schemas.microsoft.com/office/drawing/2014/chart" uri="{C3380CC4-5D6E-409C-BE32-E72D297353CC}">
              <c16:uniqueId val="{00000000-C638-4AF0-9B9F-CF452BE1D507}"/>
            </c:ext>
          </c:extLst>
        </c:ser>
        <c:ser>
          <c:idx val="2"/>
          <c:order val="1"/>
          <c:tx>
            <c:strRef>
              <c:f>aq_otbn_mayds!$A$6</c:f>
              <c:strCache>
                <c:ptCount val="1"/>
                <c:pt idx="0">
                  <c:v>2012-2013</c:v>
                </c:pt>
              </c:strCache>
            </c:strRef>
          </c:tx>
          <c:spPr>
            <a:solidFill>
              <a:schemeClr val="accent3"/>
            </a:solidFill>
            <a:ln>
              <a:noFill/>
            </a:ln>
            <a:effectLst/>
          </c:spPr>
          <c:invertIfNegative val="0"/>
          <c:cat>
            <c:numRef>
              <c:f>aq_otbn_mayds!$B$4:$E$4</c:f>
              <c:numCache>
                <c:formatCode>General</c:formatCode>
                <c:ptCount val="4"/>
                <c:pt idx="0">
                  <c:v>11</c:v>
                </c:pt>
                <c:pt idx="1">
                  <c:v>12</c:v>
                </c:pt>
                <c:pt idx="2">
                  <c:v>1</c:v>
                </c:pt>
                <c:pt idx="3">
                  <c:v>2</c:v>
                </c:pt>
              </c:numCache>
            </c:numRef>
          </c:cat>
          <c:val>
            <c:numRef>
              <c:f>aq_otbn_mayds!$B$6:$E$6</c:f>
              <c:numCache>
                <c:formatCode>0</c:formatCode>
                <c:ptCount val="4"/>
                <c:pt idx="0">
                  <c:v>0</c:v>
                </c:pt>
                <c:pt idx="1">
                  <c:v>0</c:v>
                </c:pt>
                <c:pt idx="2">
                  <c:v>785.53660612180363</c:v>
                </c:pt>
                <c:pt idx="3">
                  <c:v>3310.0935963991487</c:v>
                </c:pt>
              </c:numCache>
            </c:numRef>
          </c:val>
          <c:extLst>
            <c:ext xmlns:c16="http://schemas.microsoft.com/office/drawing/2014/chart" uri="{C3380CC4-5D6E-409C-BE32-E72D297353CC}">
              <c16:uniqueId val="{00000001-C638-4AF0-9B9F-CF452BE1D507}"/>
            </c:ext>
          </c:extLst>
        </c:ser>
        <c:ser>
          <c:idx val="3"/>
          <c:order val="2"/>
          <c:tx>
            <c:strRef>
              <c:f>aq_otbn_mayds!$A$7</c:f>
              <c:strCache>
                <c:ptCount val="1"/>
                <c:pt idx="0">
                  <c:v>2013-2014</c:v>
                </c:pt>
              </c:strCache>
            </c:strRef>
          </c:tx>
          <c:spPr>
            <a:solidFill>
              <a:schemeClr val="accent4"/>
            </a:solidFill>
            <a:ln>
              <a:noFill/>
            </a:ln>
            <a:effectLst/>
          </c:spPr>
          <c:invertIfNegative val="0"/>
          <c:cat>
            <c:numRef>
              <c:f>aq_otbn_mayds!$B$4:$E$4</c:f>
              <c:numCache>
                <c:formatCode>General</c:formatCode>
                <c:ptCount val="4"/>
                <c:pt idx="0">
                  <c:v>11</c:v>
                </c:pt>
                <c:pt idx="1">
                  <c:v>12</c:v>
                </c:pt>
                <c:pt idx="2">
                  <c:v>1</c:v>
                </c:pt>
                <c:pt idx="3">
                  <c:v>2</c:v>
                </c:pt>
              </c:numCache>
            </c:numRef>
          </c:cat>
          <c:val>
            <c:numRef>
              <c:f>aq_otbn_mayds!$B$7:$E$7</c:f>
              <c:numCache>
                <c:formatCode>0</c:formatCode>
                <c:ptCount val="4"/>
                <c:pt idx="0">
                  <c:v>559.34274793891075</c:v>
                </c:pt>
                <c:pt idx="1">
                  <c:v>14103.937482623796</c:v>
                </c:pt>
                <c:pt idx="2">
                  <c:v>65466.958110357969</c:v>
                </c:pt>
                <c:pt idx="3">
                  <c:v>2315.9972407288096</c:v>
                </c:pt>
              </c:numCache>
            </c:numRef>
          </c:val>
          <c:extLst>
            <c:ext xmlns:c16="http://schemas.microsoft.com/office/drawing/2014/chart" uri="{C3380CC4-5D6E-409C-BE32-E72D297353CC}">
              <c16:uniqueId val="{00000002-C638-4AF0-9B9F-CF452BE1D507}"/>
            </c:ext>
          </c:extLst>
        </c:ser>
        <c:ser>
          <c:idx val="4"/>
          <c:order val="3"/>
          <c:tx>
            <c:strRef>
              <c:f>aq_otbn_mayds!$A$8</c:f>
              <c:strCache>
                <c:ptCount val="1"/>
                <c:pt idx="0">
                  <c:v>2014-2015</c:v>
                </c:pt>
              </c:strCache>
            </c:strRef>
          </c:tx>
          <c:spPr>
            <a:solidFill>
              <a:schemeClr val="accent5"/>
            </a:solidFill>
            <a:ln>
              <a:noFill/>
            </a:ln>
            <a:effectLst/>
          </c:spPr>
          <c:invertIfNegative val="0"/>
          <c:cat>
            <c:numRef>
              <c:f>aq_otbn_mayds!$B$4:$E$4</c:f>
              <c:numCache>
                <c:formatCode>General</c:formatCode>
                <c:ptCount val="4"/>
                <c:pt idx="0">
                  <c:v>11</c:v>
                </c:pt>
                <c:pt idx="1">
                  <c:v>12</c:v>
                </c:pt>
                <c:pt idx="2">
                  <c:v>1</c:v>
                </c:pt>
                <c:pt idx="3">
                  <c:v>2</c:v>
                </c:pt>
              </c:numCache>
            </c:numRef>
          </c:cat>
          <c:val>
            <c:numRef>
              <c:f>aq_otbn_mayds!$B$8:$E$8</c:f>
              <c:numCache>
                <c:formatCode>0</c:formatCode>
                <c:ptCount val="4"/>
                <c:pt idx="0">
                  <c:v>0</c:v>
                </c:pt>
                <c:pt idx="1">
                  <c:v>10202.7070876626</c:v>
                </c:pt>
                <c:pt idx="2">
                  <c:v>109201.05831836998</c:v>
                </c:pt>
                <c:pt idx="3">
                  <c:v>5525.5109518811687</c:v>
                </c:pt>
              </c:numCache>
            </c:numRef>
          </c:val>
          <c:extLst>
            <c:ext xmlns:c16="http://schemas.microsoft.com/office/drawing/2014/chart" uri="{C3380CC4-5D6E-409C-BE32-E72D297353CC}">
              <c16:uniqueId val="{00000003-C638-4AF0-9B9F-CF452BE1D507}"/>
            </c:ext>
          </c:extLst>
        </c:ser>
        <c:ser>
          <c:idx val="5"/>
          <c:order val="4"/>
          <c:tx>
            <c:strRef>
              <c:f>aq_otbn_mayds!$A$9</c:f>
              <c:strCache>
                <c:ptCount val="1"/>
                <c:pt idx="0">
                  <c:v>2015-2016</c:v>
                </c:pt>
              </c:strCache>
            </c:strRef>
          </c:tx>
          <c:spPr>
            <a:solidFill>
              <a:schemeClr val="accent6"/>
            </a:solidFill>
            <a:ln>
              <a:noFill/>
            </a:ln>
            <a:effectLst/>
          </c:spPr>
          <c:invertIfNegative val="0"/>
          <c:cat>
            <c:numRef>
              <c:f>aq_otbn_mayds!$B$4:$E$4</c:f>
              <c:numCache>
                <c:formatCode>General</c:formatCode>
                <c:ptCount val="4"/>
                <c:pt idx="0">
                  <c:v>11</c:v>
                </c:pt>
                <c:pt idx="1">
                  <c:v>12</c:v>
                </c:pt>
                <c:pt idx="2">
                  <c:v>1</c:v>
                </c:pt>
                <c:pt idx="3">
                  <c:v>2</c:v>
                </c:pt>
              </c:numCache>
            </c:numRef>
          </c:cat>
          <c:val>
            <c:numRef>
              <c:f>aq_otbn_mayds!$B$9:$E$9</c:f>
              <c:numCache>
                <c:formatCode>0</c:formatCode>
                <c:ptCount val="4"/>
                <c:pt idx="0">
                  <c:v>1583.764984833547</c:v>
                </c:pt>
                <c:pt idx="1">
                  <c:v>2719.4255714524074</c:v>
                </c:pt>
                <c:pt idx="2">
                  <c:v>19128.255679037906</c:v>
                </c:pt>
                <c:pt idx="3">
                  <c:v>502.02972241102992</c:v>
                </c:pt>
              </c:numCache>
            </c:numRef>
          </c:val>
          <c:extLst>
            <c:ext xmlns:c16="http://schemas.microsoft.com/office/drawing/2014/chart" uri="{C3380CC4-5D6E-409C-BE32-E72D297353CC}">
              <c16:uniqueId val="{00000004-C638-4AF0-9B9F-CF452BE1D507}"/>
            </c:ext>
          </c:extLst>
        </c:ser>
        <c:ser>
          <c:idx val="6"/>
          <c:order val="5"/>
          <c:tx>
            <c:strRef>
              <c:f>aq_otbn_mayds!$A$10</c:f>
              <c:strCache>
                <c:ptCount val="1"/>
                <c:pt idx="0">
                  <c:v>2016-2017</c:v>
                </c:pt>
              </c:strCache>
            </c:strRef>
          </c:tx>
          <c:spPr>
            <a:solidFill>
              <a:schemeClr val="accent1">
                <a:lumMod val="60000"/>
              </a:schemeClr>
            </a:solidFill>
            <a:ln>
              <a:noFill/>
            </a:ln>
            <a:effectLst/>
          </c:spPr>
          <c:invertIfNegative val="0"/>
          <c:cat>
            <c:numRef>
              <c:f>aq_otbn_mayds!$B$4:$E$4</c:f>
              <c:numCache>
                <c:formatCode>General</c:formatCode>
                <c:ptCount val="4"/>
                <c:pt idx="0">
                  <c:v>11</c:v>
                </c:pt>
                <c:pt idx="1">
                  <c:v>12</c:v>
                </c:pt>
                <c:pt idx="2">
                  <c:v>1</c:v>
                </c:pt>
                <c:pt idx="3">
                  <c:v>2</c:v>
                </c:pt>
              </c:numCache>
            </c:numRef>
          </c:cat>
          <c:val>
            <c:numRef>
              <c:f>aq_otbn_mayds!$B$10:$E$10</c:f>
              <c:numCache>
                <c:formatCode>0</c:formatCode>
                <c:ptCount val="4"/>
                <c:pt idx="0">
                  <c:v>0</c:v>
                </c:pt>
                <c:pt idx="1">
                  <c:v>132878.33037004361</c:v>
                </c:pt>
                <c:pt idx="2">
                  <c:v>609660.63756301336</c:v>
                </c:pt>
                <c:pt idx="3">
                  <c:v>23888.400506223159</c:v>
                </c:pt>
              </c:numCache>
            </c:numRef>
          </c:val>
          <c:extLst>
            <c:ext xmlns:c16="http://schemas.microsoft.com/office/drawing/2014/chart" uri="{C3380CC4-5D6E-409C-BE32-E72D297353CC}">
              <c16:uniqueId val="{00000005-C638-4AF0-9B9F-CF452BE1D507}"/>
            </c:ext>
          </c:extLst>
        </c:ser>
        <c:ser>
          <c:idx val="7"/>
          <c:order val="6"/>
          <c:tx>
            <c:strRef>
              <c:f>aq_otbn_mayds!$A$11</c:f>
              <c:strCache>
                <c:ptCount val="1"/>
                <c:pt idx="0">
                  <c:v>2017-2018</c:v>
                </c:pt>
              </c:strCache>
            </c:strRef>
          </c:tx>
          <c:spPr>
            <a:solidFill>
              <a:schemeClr val="accent2">
                <a:lumMod val="60000"/>
              </a:schemeClr>
            </a:solidFill>
            <a:ln>
              <a:noFill/>
            </a:ln>
            <a:effectLst/>
          </c:spPr>
          <c:invertIfNegative val="0"/>
          <c:cat>
            <c:numRef>
              <c:f>aq_otbn_mayds!$B$4:$E$4</c:f>
              <c:numCache>
                <c:formatCode>General</c:formatCode>
                <c:ptCount val="4"/>
                <c:pt idx="0">
                  <c:v>11</c:v>
                </c:pt>
                <c:pt idx="1">
                  <c:v>12</c:v>
                </c:pt>
                <c:pt idx="2">
                  <c:v>1</c:v>
                </c:pt>
                <c:pt idx="3">
                  <c:v>2</c:v>
                </c:pt>
              </c:numCache>
            </c:numRef>
          </c:cat>
          <c:val>
            <c:numRef>
              <c:f>aq_otbn_mayds!$B$11:$E$11</c:f>
              <c:numCache>
                <c:formatCode>0</c:formatCode>
                <c:ptCount val="4"/>
                <c:pt idx="0">
                  <c:v>6641.0706702595207</c:v>
                </c:pt>
                <c:pt idx="1">
                  <c:v>10511.836576989312</c:v>
                </c:pt>
                <c:pt idx="2">
                  <c:v>352225.13730107521</c:v>
                </c:pt>
                <c:pt idx="3">
                  <c:v>115510.92640455782</c:v>
                </c:pt>
              </c:numCache>
            </c:numRef>
          </c:val>
          <c:extLst>
            <c:ext xmlns:c16="http://schemas.microsoft.com/office/drawing/2014/chart" uri="{C3380CC4-5D6E-409C-BE32-E72D297353CC}">
              <c16:uniqueId val="{00000006-C638-4AF0-9B9F-CF452BE1D507}"/>
            </c:ext>
          </c:extLst>
        </c:ser>
        <c:ser>
          <c:idx val="8"/>
          <c:order val="7"/>
          <c:tx>
            <c:strRef>
              <c:f>aq_otbn_mayds!$A$12</c:f>
              <c:strCache>
                <c:ptCount val="1"/>
                <c:pt idx="0">
                  <c:v>2018-2019</c:v>
                </c:pt>
              </c:strCache>
            </c:strRef>
          </c:tx>
          <c:spPr>
            <a:solidFill>
              <a:schemeClr val="accent3">
                <a:lumMod val="60000"/>
              </a:schemeClr>
            </a:solidFill>
            <a:ln>
              <a:noFill/>
            </a:ln>
            <a:effectLst/>
          </c:spPr>
          <c:invertIfNegative val="0"/>
          <c:cat>
            <c:numRef>
              <c:f>aq_otbn_mayds!$B$4:$E$4</c:f>
              <c:numCache>
                <c:formatCode>General</c:formatCode>
                <c:ptCount val="4"/>
                <c:pt idx="0">
                  <c:v>11</c:v>
                </c:pt>
                <c:pt idx="1">
                  <c:v>12</c:v>
                </c:pt>
                <c:pt idx="2">
                  <c:v>1</c:v>
                </c:pt>
                <c:pt idx="3">
                  <c:v>2</c:v>
                </c:pt>
              </c:numCache>
            </c:numRef>
          </c:cat>
          <c:val>
            <c:numRef>
              <c:f>aq_otbn_mayds!$B$12:$E$12</c:f>
              <c:numCache>
                <c:formatCode>0</c:formatCode>
                <c:ptCount val="4"/>
                <c:pt idx="0">
                  <c:v>498.32327988612803</c:v>
                </c:pt>
                <c:pt idx="1">
                  <c:v>29344.738176339568</c:v>
                </c:pt>
                <c:pt idx="2">
                  <c:v>34120.136688659659</c:v>
                </c:pt>
                <c:pt idx="3">
                  <c:v>48039.943681096964</c:v>
                </c:pt>
              </c:numCache>
            </c:numRef>
          </c:val>
          <c:extLst>
            <c:ext xmlns:c16="http://schemas.microsoft.com/office/drawing/2014/chart" uri="{C3380CC4-5D6E-409C-BE32-E72D297353CC}">
              <c16:uniqueId val="{00000007-C638-4AF0-9B9F-CF452BE1D507}"/>
            </c:ext>
          </c:extLst>
        </c:ser>
        <c:ser>
          <c:idx val="9"/>
          <c:order val="8"/>
          <c:tx>
            <c:strRef>
              <c:f>aq_otbn_mayds!$A$13</c:f>
              <c:strCache>
                <c:ptCount val="1"/>
                <c:pt idx="0">
                  <c:v>2019-2020</c:v>
                </c:pt>
              </c:strCache>
            </c:strRef>
          </c:tx>
          <c:spPr>
            <a:solidFill>
              <a:schemeClr val="accent4">
                <a:lumMod val="60000"/>
              </a:schemeClr>
            </a:solidFill>
            <a:ln>
              <a:noFill/>
            </a:ln>
            <a:effectLst/>
          </c:spPr>
          <c:invertIfNegative val="0"/>
          <c:cat>
            <c:numRef>
              <c:f>aq_otbn_mayds!$B$4:$E$4</c:f>
              <c:numCache>
                <c:formatCode>General</c:formatCode>
                <c:ptCount val="4"/>
                <c:pt idx="0">
                  <c:v>11</c:v>
                </c:pt>
                <c:pt idx="1">
                  <c:v>12</c:v>
                </c:pt>
                <c:pt idx="2">
                  <c:v>1</c:v>
                </c:pt>
                <c:pt idx="3">
                  <c:v>2</c:v>
                </c:pt>
              </c:numCache>
            </c:numRef>
          </c:cat>
          <c:val>
            <c:numRef>
              <c:f>aq_otbn_mayds!$B$13:$E$13</c:f>
              <c:numCache>
                <c:formatCode>0</c:formatCode>
                <c:ptCount val="4"/>
                <c:pt idx="0">
                  <c:v>1779.6840554942171</c:v>
                </c:pt>
                <c:pt idx="1">
                  <c:v>18477.293713180377</c:v>
                </c:pt>
                <c:pt idx="2">
                  <c:v>786.30784536459441</c:v>
                </c:pt>
                <c:pt idx="3">
                  <c:v>3138.4686174424733</c:v>
                </c:pt>
              </c:numCache>
            </c:numRef>
          </c:val>
          <c:extLst>
            <c:ext xmlns:c16="http://schemas.microsoft.com/office/drawing/2014/chart" uri="{C3380CC4-5D6E-409C-BE32-E72D297353CC}">
              <c16:uniqueId val="{00000008-C638-4AF0-9B9F-CF452BE1D507}"/>
            </c:ext>
          </c:extLst>
        </c:ser>
        <c:ser>
          <c:idx val="10"/>
          <c:order val="9"/>
          <c:tx>
            <c:strRef>
              <c:f>aq_otbn_mayds!$A$14</c:f>
              <c:strCache>
                <c:ptCount val="1"/>
                <c:pt idx="0">
                  <c:v>2020-2021</c:v>
                </c:pt>
              </c:strCache>
            </c:strRef>
          </c:tx>
          <c:spPr>
            <a:solidFill>
              <a:schemeClr val="accent5">
                <a:lumMod val="60000"/>
              </a:schemeClr>
            </a:solidFill>
            <a:ln>
              <a:noFill/>
            </a:ln>
            <a:effectLst/>
          </c:spPr>
          <c:invertIfNegative val="0"/>
          <c:cat>
            <c:numRef>
              <c:f>aq_otbn_mayds!$B$4:$E$4</c:f>
              <c:numCache>
                <c:formatCode>General</c:formatCode>
                <c:ptCount val="4"/>
                <c:pt idx="0">
                  <c:v>11</c:v>
                </c:pt>
                <c:pt idx="1">
                  <c:v>12</c:v>
                </c:pt>
                <c:pt idx="2">
                  <c:v>1</c:v>
                </c:pt>
                <c:pt idx="3">
                  <c:v>2</c:v>
                </c:pt>
              </c:numCache>
            </c:numRef>
          </c:cat>
          <c:val>
            <c:numRef>
              <c:f>aq_otbn_mayds!$B$14:$E$14</c:f>
              <c:numCache>
                <c:formatCode>0</c:formatCode>
                <c:ptCount val="4"/>
                <c:pt idx="0">
                  <c:v>953.82429757569594</c:v>
                </c:pt>
                <c:pt idx="1">
                  <c:v>9156.7327119125221</c:v>
                </c:pt>
                <c:pt idx="2">
                  <c:v>6486.0199754734676</c:v>
                </c:pt>
                <c:pt idx="3">
                  <c:v>2464.4905922511125</c:v>
                </c:pt>
              </c:numCache>
            </c:numRef>
          </c:val>
          <c:extLst>
            <c:ext xmlns:c16="http://schemas.microsoft.com/office/drawing/2014/chart" uri="{C3380CC4-5D6E-409C-BE32-E72D297353CC}">
              <c16:uniqueId val="{00000009-C638-4AF0-9B9F-CF452BE1D507}"/>
            </c:ext>
          </c:extLst>
        </c:ser>
        <c:ser>
          <c:idx val="11"/>
          <c:order val="10"/>
          <c:tx>
            <c:strRef>
              <c:f>aq_otbn_mayds!$A$15</c:f>
              <c:strCache>
                <c:ptCount val="1"/>
                <c:pt idx="0">
                  <c:v>2021-2022</c:v>
                </c:pt>
              </c:strCache>
            </c:strRef>
          </c:tx>
          <c:spPr>
            <a:solidFill>
              <a:schemeClr val="accent6">
                <a:lumMod val="60000"/>
              </a:schemeClr>
            </a:solidFill>
            <a:ln>
              <a:noFill/>
            </a:ln>
            <a:effectLst/>
          </c:spPr>
          <c:invertIfNegative val="0"/>
          <c:cat>
            <c:numRef>
              <c:f>aq_otbn_mayds!$B$4:$E$4</c:f>
              <c:numCache>
                <c:formatCode>General</c:formatCode>
                <c:ptCount val="4"/>
                <c:pt idx="0">
                  <c:v>11</c:v>
                </c:pt>
                <c:pt idx="1">
                  <c:v>12</c:v>
                </c:pt>
                <c:pt idx="2">
                  <c:v>1</c:v>
                </c:pt>
                <c:pt idx="3">
                  <c:v>2</c:v>
                </c:pt>
              </c:numCache>
            </c:numRef>
          </c:cat>
          <c:val>
            <c:numRef>
              <c:f>aq_otbn_mayds!$B$15:$E$15</c:f>
              <c:numCache>
                <c:formatCode>0</c:formatCode>
                <c:ptCount val="4"/>
                <c:pt idx="0">
                  <c:v>0</c:v>
                </c:pt>
                <c:pt idx="1">
                  <c:v>679.75375756339997</c:v>
                </c:pt>
                <c:pt idx="2">
                  <c:v>31748.89167243781</c:v>
                </c:pt>
                <c:pt idx="3">
                  <c:v>2806.4385078110008</c:v>
                </c:pt>
              </c:numCache>
            </c:numRef>
          </c:val>
          <c:extLst>
            <c:ext xmlns:c16="http://schemas.microsoft.com/office/drawing/2014/chart" uri="{C3380CC4-5D6E-409C-BE32-E72D297353CC}">
              <c16:uniqueId val="{0000000A-C638-4AF0-9B9F-CF452BE1D507}"/>
            </c:ext>
          </c:extLst>
        </c:ser>
        <c:ser>
          <c:idx val="12"/>
          <c:order val="11"/>
          <c:tx>
            <c:strRef>
              <c:f>aq_otbn_mayds!$A$16</c:f>
              <c:strCache>
                <c:ptCount val="1"/>
                <c:pt idx="0">
                  <c:v>2022-2023</c:v>
                </c:pt>
              </c:strCache>
            </c:strRef>
          </c:tx>
          <c:spPr>
            <a:solidFill>
              <a:schemeClr val="accent1">
                <a:lumMod val="80000"/>
                <a:lumOff val="20000"/>
              </a:schemeClr>
            </a:solidFill>
            <a:ln>
              <a:noFill/>
            </a:ln>
            <a:effectLst/>
          </c:spPr>
          <c:invertIfNegative val="0"/>
          <c:cat>
            <c:numRef>
              <c:f>aq_otbn_mayds!$B$4:$E$4</c:f>
              <c:numCache>
                <c:formatCode>General</c:formatCode>
                <c:ptCount val="4"/>
                <c:pt idx="0">
                  <c:v>11</c:v>
                </c:pt>
                <c:pt idx="1">
                  <c:v>12</c:v>
                </c:pt>
                <c:pt idx="2">
                  <c:v>1</c:v>
                </c:pt>
                <c:pt idx="3">
                  <c:v>2</c:v>
                </c:pt>
              </c:numCache>
            </c:numRef>
          </c:cat>
          <c:val>
            <c:numRef>
              <c:f>aq_otbn_mayds!$B$16:$E$16</c:f>
              <c:numCache>
                <c:formatCode>0</c:formatCode>
                <c:ptCount val="4"/>
                <c:pt idx="0">
                  <c:v>1419.0854889665909</c:v>
                </c:pt>
                <c:pt idx="1">
                  <c:v>22841.045661508062</c:v>
                </c:pt>
                <c:pt idx="2">
                  <c:v>8033.9155836865948</c:v>
                </c:pt>
                <c:pt idx="3">
                  <c:v>10324.633781521776</c:v>
                </c:pt>
              </c:numCache>
            </c:numRef>
          </c:val>
          <c:extLst>
            <c:ext xmlns:c16="http://schemas.microsoft.com/office/drawing/2014/chart" uri="{C3380CC4-5D6E-409C-BE32-E72D297353CC}">
              <c16:uniqueId val="{0000000B-C638-4AF0-9B9F-CF452BE1D507}"/>
            </c:ext>
          </c:extLst>
        </c:ser>
        <c:dLbls>
          <c:showLegendKey val="0"/>
          <c:showVal val="0"/>
          <c:showCatName val="0"/>
          <c:showSerName val="0"/>
          <c:showPercent val="0"/>
          <c:showBubbleSize val="0"/>
        </c:dLbls>
        <c:gapWidth val="75"/>
        <c:overlap val="100"/>
        <c:axId val="355863256"/>
        <c:axId val="355860120"/>
      </c:barChart>
      <c:catAx>
        <c:axId val="3558632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AR"/>
                  <a:t>Meses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860120"/>
        <c:crosses val="autoZero"/>
        <c:auto val="1"/>
        <c:lblAlgn val="ctr"/>
        <c:lblOffset val="100"/>
        <c:noMultiLvlLbl val="0"/>
      </c:catAx>
      <c:valAx>
        <c:axId val="35586012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AR"/>
                  <a:t>Superficie (Ha.)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8632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'Total y OTBN'!$C$5</c:f>
              <c:strCache>
                <c:ptCount val="1"/>
                <c:pt idx="0">
                  <c:v>Superficie Quemada Total</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strRef>
              <c:f>'Total y OTBN'!$B$6:$B$17</c:f>
              <c:strCache>
                <c:ptCount val="12"/>
                <c:pt idx="0">
                  <c:v>2011-2012</c:v>
                </c:pt>
                <c:pt idx="1">
                  <c:v>2012-2013</c:v>
                </c:pt>
                <c:pt idx="2">
                  <c:v>2013-2014</c:v>
                </c:pt>
                <c:pt idx="3">
                  <c:v>2014-2015</c:v>
                </c:pt>
                <c:pt idx="4">
                  <c:v>2015-2016</c:v>
                </c:pt>
                <c:pt idx="5">
                  <c:v>2016-2017</c:v>
                </c:pt>
                <c:pt idx="6">
                  <c:v>2017-2018</c:v>
                </c:pt>
                <c:pt idx="7">
                  <c:v>2018-2019</c:v>
                </c:pt>
                <c:pt idx="8">
                  <c:v>2019-2020</c:v>
                </c:pt>
                <c:pt idx="9">
                  <c:v>2020-2021</c:v>
                </c:pt>
                <c:pt idx="10">
                  <c:v>2021-2022</c:v>
                </c:pt>
                <c:pt idx="11">
                  <c:v>2022-2023</c:v>
                </c:pt>
              </c:strCache>
            </c:strRef>
          </c:cat>
          <c:val>
            <c:numRef>
              <c:f>'Total y OTBN'!$C$6:$C$17</c:f>
              <c:numCache>
                <c:formatCode>0</c:formatCode>
                <c:ptCount val="12"/>
                <c:pt idx="0">
                  <c:v>106177.52236955603</c:v>
                </c:pt>
                <c:pt idx="1">
                  <c:v>17601.8714731008</c:v>
                </c:pt>
                <c:pt idx="2">
                  <c:v>467003.63259862061</c:v>
                </c:pt>
                <c:pt idx="3">
                  <c:v>245213.7815341278</c:v>
                </c:pt>
                <c:pt idx="4">
                  <c:v>77292.128105558906</c:v>
                </c:pt>
                <c:pt idx="5">
                  <c:v>1276656.392199249</c:v>
                </c:pt>
                <c:pt idx="6">
                  <c:v>847132.38482437085</c:v>
                </c:pt>
                <c:pt idx="7">
                  <c:v>152373.60097943663</c:v>
                </c:pt>
                <c:pt idx="8">
                  <c:v>38180.6033374584</c:v>
                </c:pt>
                <c:pt idx="9">
                  <c:v>111038.0512957785</c:v>
                </c:pt>
                <c:pt idx="10">
                  <c:v>45927.089409249798</c:v>
                </c:pt>
                <c:pt idx="11">
                  <c:v>205285.24320343649</c:v>
                </c:pt>
              </c:numCache>
            </c:numRef>
          </c:val>
          <c:smooth val="0"/>
          <c:extLst>
            <c:ext xmlns:c16="http://schemas.microsoft.com/office/drawing/2014/chart" uri="{C3380CC4-5D6E-409C-BE32-E72D297353CC}">
              <c16:uniqueId val="{00000000-D44F-4860-B5D5-661AAF59F3EA}"/>
            </c:ext>
          </c:extLst>
        </c:ser>
        <c:ser>
          <c:idx val="1"/>
          <c:order val="1"/>
          <c:tx>
            <c:strRef>
              <c:f>'Total y OTBN'!$D$5</c:f>
              <c:strCache>
                <c:ptCount val="1"/>
                <c:pt idx="0">
                  <c:v>Superficie Quemada OTBN</c:v>
                </c:pt>
              </c:strCache>
            </c:strRef>
          </c:tx>
          <c:spPr>
            <a:ln w="28575" cap="rnd">
              <a:solidFill>
                <a:srgbClr val="00B050"/>
              </a:solidFill>
              <a:round/>
            </a:ln>
            <a:effectLst/>
          </c:spPr>
          <c:marker>
            <c:symbol val="circle"/>
            <c:size val="5"/>
            <c:spPr>
              <a:solidFill>
                <a:srgbClr val="00B050"/>
              </a:solidFill>
              <a:ln w="9525">
                <a:solidFill>
                  <a:srgbClr val="00B050"/>
                </a:solidFill>
              </a:ln>
              <a:effectLst/>
            </c:spPr>
          </c:marker>
          <c:cat>
            <c:strRef>
              <c:f>'Total y OTBN'!$B$6:$B$17</c:f>
              <c:strCache>
                <c:ptCount val="12"/>
                <c:pt idx="0">
                  <c:v>2011-2012</c:v>
                </c:pt>
                <c:pt idx="1">
                  <c:v>2012-2013</c:v>
                </c:pt>
                <c:pt idx="2">
                  <c:v>2013-2014</c:v>
                </c:pt>
                <c:pt idx="3">
                  <c:v>2014-2015</c:v>
                </c:pt>
                <c:pt idx="4">
                  <c:v>2015-2016</c:v>
                </c:pt>
                <c:pt idx="5">
                  <c:v>2016-2017</c:v>
                </c:pt>
                <c:pt idx="6">
                  <c:v>2017-2018</c:v>
                </c:pt>
                <c:pt idx="7">
                  <c:v>2018-2019</c:v>
                </c:pt>
                <c:pt idx="8">
                  <c:v>2019-2020</c:v>
                </c:pt>
                <c:pt idx="9">
                  <c:v>2020-2021</c:v>
                </c:pt>
                <c:pt idx="10">
                  <c:v>2021-2022</c:v>
                </c:pt>
                <c:pt idx="11">
                  <c:v>2022-2023</c:v>
                </c:pt>
              </c:strCache>
            </c:strRef>
          </c:cat>
          <c:val>
            <c:numRef>
              <c:f>'Total y OTBN'!$D$6:$D$17</c:f>
              <c:numCache>
                <c:formatCode>0</c:formatCode>
                <c:ptCount val="12"/>
                <c:pt idx="0">
                  <c:v>22043.245099005555</c:v>
                </c:pt>
                <c:pt idx="1">
                  <c:v>4095.6302025209525</c:v>
                </c:pt>
                <c:pt idx="2">
                  <c:v>82446.235581649482</c:v>
                </c:pt>
                <c:pt idx="3">
                  <c:v>124929.27635791374</c:v>
                </c:pt>
                <c:pt idx="4">
                  <c:v>23933.475957734889</c:v>
                </c:pt>
                <c:pt idx="5">
                  <c:v>766427.3684392802</c:v>
                </c:pt>
                <c:pt idx="6">
                  <c:v>484888.97095288191</c:v>
                </c:pt>
                <c:pt idx="7">
                  <c:v>112003.14182598231</c:v>
                </c:pt>
                <c:pt idx="8">
                  <c:v>24181.75423148166</c:v>
                </c:pt>
                <c:pt idx="9">
                  <c:v>19061.067577212802</c:v>
                </c:pt>
                <c:pt idx="10">
                  <c:v>35235.083937812211</c:v>
                </c:pt>
                <c:pt idx="11">
                  <c:v>42618.680515683023</c:v>
                </c:pt>
              </c:numCache>
            </c:numRef>
          </c:val>
          <c:smooth val="0"/>
          <c:extLst>
            <c:ext xmlns:c16="http://schemas.microsoft.com/office/drawing/2014/chart" uri="{C3380CC4-5D6E-409C-BE32-E72D297353CC}">
              <c16:uniqueId val="{00000001-D44F-4860-B5D5-661AAF59F3EA}"/>
            </c:ext>
          </c:extLst>
        </c:ser>
        <c:dLbls>
          <c:showLegendKey val="0"/>
          <c:showVal val="0"/>
          <c:showCatName val="0"/>
          <c:showSerName val="0"/>
          <c:showPercent val="0"/>
          <c:showBubbleSize val="0"/>
        </c:dLbls>
        <c:marker val="1"/>
        <c:smooth val="0"/>
        <c:axId val="355861296"/>
        <c:axId val="366989848"/>
      </c:lineChart>
      <c:catAx>
        <c:axId val="35586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989848"/>
        <c:crosses val="autoZero"/>
        <c:auto val="1"/>
        <c:lblAlgn val="ctr"/>
        <c:lblOffset val="100"/>
        <c:noMultiLvlLbl val="0"/>
      </c:catAx>
      <c:valAx>
        <c:axId val="3669898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AR"/>
                  <a:t>Superficie (Ha.)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861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'Total y OTBN'!$C$6:$C$17</cx:f>
        <cx:lvl ptCount="12" formatCode="0">
          <cx:pt idx="0">106177.52236955603</cx:pt>
          <cx:pt idx="1">17601.8714731008</cx:pt>
          <cx:pt idx="2">467003.63259862061</cx:pt>
          <cx:pt idx="3">245213.7815341278</cx:pt>
          <cx:pt idx="4">77292.128105558906</cx:pt>
          <cx:pt idx="5">1276656.392199249</cx:pt>
          <cx:pt idx="6">847132.38482437085</cx:pt>
          <cx:pt idx="7">152373.60097943663</cx:pt>
          <cx:pt idx="8">38180.6033374584</cx:pt>
          <cx:pt idx="9">111038.0512957785</cx:pt>
          <cx:pt idx="10">45927.089409249798</cx:pt>
          <cx:pt idx="11">205285.24320343649</cx:pt>
        </cx:lvl>
      </cx:numDim>
    </cx:data>
    <cx:data id="1">
      <cx:numDim type="val">
        <cx:f>'Total y OTBN'!$D$6:$D$17</cx:f>
        <cx:lvl ptCount="12" formatCode="0">
          <cx:pt idx="0">22043.245099005555</cx:pt>
          <cx:pt idx="1">4095.6302025209525</cx:pt>
          <cx:pt idx="2">82446.235581649482</cx:pt>
          <cx:pt idx="3">124929.27635791374</cx:pt>
          <cx:pt idx="4">23933.475957734889</cx:pt>
          <cx:pt idx="5">766427.3684392802</cx:pt>
          <cx:pt idx="6">484888.97095288191</cx:pt>
          <cx:pt idx="7">112003.14182598231</cx:pt>
          <cx:pt idx="8">24181.75423148166</cx:pt>
          <cx:pt idx="9">19061.067577212802</cx:pt>
          <cx:pt idx="10">35235.083937812211</cx:pt>
          <cx:pt idx="11">42618.680515683023</cx:pt>
        </cx:lvl>
      </cx:numDim>
    </cx:data>
  </cx:chartData>
  <cx:chart>
    <cx:plotArea>
      <cx:plotAreaRegion>
        <cx:series layoutId="boxWhisker" uniqueId="{907C5B39-74F4-4258-A99F-E7C7988C73C0}">
          <cx:tx>
            <cx:txData>
              <cx:f>'Total y OTBN'!$C$5</cx:f>
              <cx:v>Superficie Quemada Total</cx:v>
            </cx:txData>
          </cx:tx>
          <cx:dataId val="0"/>
          <cx:layoutPr>
            <cx:visibility meanLine="1" meanMarker="1" nonoutliers="1" outliers="1"/>
            <cx:statistics quartileMethod="exclusive"/>
          </cx:layoutPr>
        </cx:series>
        <cx:series layoutId="boxWhisker" uniqueId="{1F5A1316-BA08-458D-9834-7A26D091D759}">
          <cx:tx>
            <cx:txData>
              <cx:f>'Total y OTBN'!$D$5</cx:f>
              <cx:v>Superficie Quemada OTBN</cx:v>
            </cx:txData>
          </cx:tx>
          <cx:dataId val="1"/>
          <cx:layoutPr>
            <cx:visibility meanLine="1" meanMarker="1" nonoutliers="1" outliers="1"/>
            <cx:statistics quartileMethod="exclusive"/>
          </cx:layoutPr>
        </cx:series>
      </cx:plotAreaRegion>
      <cx:axis id="0" hidden="1">
        <cx:catScaling gapWidth="2.03999996"/>
        <cx:tickLabels/>
      </cx:axis>
      <cx:axis id="1">
        <cx:valScaling/>
        <cx:majorGridlines/>
        <cx:minorGridlines/>
        <cx:minorTickMarks type="out"/>
        <cx:tickLabels/>
        <cx:numFmt formatCode="General" sourceLinked="0"/>
      </cx:axis>
    </cx:plotArea>
    <cx:legend pos="b" align="ctr" overlay="0"/>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73">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75" cap="flat" cmpd="sng" algn="ctr">
        <a:solidFill>
          <a:schemeClr val="tx1">
            <a:lumMod val="25000"/>
            <a:lumOff val="75000"/>
          </a:schemeClr>
        </a:solidFill>
        <a:round/>
      </a:ln>
    </cs:spPr>
    <cs:defRPr sz="900" kern="1200" baseline="0"/>
    <cs:bodyPr rot="-60000000" vert="horz"/>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fillRef idx="0"/>
    <cs:effectRef idx="0"/>
    <cs:fontRef idx="minor">
      <a:schemeClr val="dk1"/>
    </cs:fontRef>
  </cs:dataPointLine>
  <cs:dataPointMarker>
    <cs:lnRef idx="0">
      <cs:styleClr val="auto"/>
    </cs:lnRef>
    <cs:fillRef idx="0">
      <cs:styleClr val="auto"/>
    </cs:fillRef>
    <cs:effectRef idx="0"/>
    <cs:fontRef idx="minor">
      <a:schemeClr val="tx1"/>
    </cs:fontRef>
    <cs:spPr>
      <a:solidFill>
        <a:schemeClr val="phClr">
          <a:lumMod val="60000"/>
        </a:schemeClr>
      </a:solidFill>
      <a:ln w="9525" cap="flat" cmpd="sng" algn="ctr">
        <a:solidFill>
          <a:schemeClr val="phClr">
            <a:lumMod val="60000"/>
          </a:schemeClr>
        </a:solidFill>
        <a:round/>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25000"/>
            <a:lumOff val="7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dk1"/>
    </cs:fontRef>
  </cs:dropLine>
  <cs:errorBar>
    <cs:lnRef idx="0"/>
    <cs:fillRef idx="0"/>
    <cs:effectRef idx="0"/>
    <cs:fontRef idx="minor">
      <a:schemeClr val="dk1"/>
    </cs:fontRef>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lumOff val="10000"/>
          </a:schemeClr>
        </a:solidFill>
      </a:ln>
    </cs:spPr>
  </cs:gridlineMinor>
  <cs:hiLoLine>
    <cs:lnRef idx="0"/>
    <cs:fillRef idx="0"/>
    <cs:effectRef idx="0"/>
    <cs:fontRef idx="minor">
      <a:schemeClr val="dk1"/>
    </cs:fontRef>
    <cs:spPr>
      <a:ln w="25400" cap="sq" cmpd="sng" algn="ctr">
        <a:solidFill>
          <a:schemeClr val="tx1">
            <a:lumMod val="65000"/>
            <a:lumOff val="35000"/>
          </a:schemeClr>
        </a:solidFill>
        <a:round/>
      </a:ln>
    </cs:spPr>
  </cs:hiLoLine>
  <cs:leaderLine>
    <cs:lnRef idx="0"/>
    <cs:fillRef idx="0"/>
    <cs:effectRef idx="0"/>
    <cs:fontRef idx="minor">
      <a:schemeClr val="dk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75" cap="flat" cmpd="sng" algn="ctr">
        <a:solidFill>
          <a:schemeClr val="tx1">
            <a:lumMod val="25000"/>
            <a:lumOff val="75000"/>
          </a:schemeClr>
        </a:solidFill>
        <a:round/>
      </a:ln>
    </cs:spPr>
    <cs:defRPr sz="900"/>
    <cs:bodyPr rot="-60000000" vert="horz"/>
  </cs:seriesAxis>
  <cs:seriesLine>
    <cs:lnRef idx="0"/>
    <cs:fillRef idx="0"/>
    <cs:effectRef idx="0"/>
    <cs:fontRef idx="minor">
      <a:schemeClr val="dk1"/>
    </cs:fontRef>
    <cs:spPr>
      <a:ln w="9525" cap="flat">
        <a:solidFill>
          <a:srgbClr val="D9D9D9"/>
        </a:solidFill>
        <a:round/>
      </a:ln>
    </cs:spPr>
  </cs:seriesLine>
  <cs:title>
    <cs:lnRef idx="0"/>
    <cs:fillRef idx="0"/>
    <cs:effectRef idx="0"/>
    <cs:fontRef idx="major">
      <a:schemeClr val="tx1">
        <a:lumMod val="50000"/>
        <a:lumOff val="50000"/>
      </a:schemeClr>
    </cs:fontRef>
    <cs:defRPr sz="1400" b="1" i="0" kern="1200" spc="20" baseline="0"/>
    <cs:bodyPr rot="0" vert="horz"/>
  </cs:title>
  <cs:trendline>
    <cs:lnRef idx="0"/>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spc="20" baseline="0"/>
    <cs:bodyPr rot="-60000000" vert="horz"/>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Y8yeT/egU00vwhHq9qVOQrkdDg==">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614C6E-A6FB-41A9-AA55-718DEA45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2500</Words>
  <Characters>14256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Usuario</cp:lastModifiedBy>
  <cp:revision>2</cp:revision>
  <dcterms:created xsi:type="dcterms:W3CDTF">2023-04-14T17:46:00Z</dcterms:created>
  <dcterms:modified xsi:type="dcterms:W3CDTF">2023-04-14T17:46:00Z</dcterms:modified>
</cp:coreProperties>
</file>