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F77" w:rsidRDefault="00123F77">
      <w:pPr>
        <w:keepNext/>
        <w:pBdr>
          <w:top w:val="nil"/>
          <w:left w:val="nil"/>
          <w:bottom w:val="nil"/>
          <w:right w:val="nil"/>
          <w:between w:val="nil"/>
        </w:pBdr>
        <w:ind w:left="1260" w:firstLine="226"/>
        <w:jc w:val="center"/>
        <w:rPr>
          <w:rFonts w:ascii="Arial" w:eastAsia="Arial" w:hAnsi="Arial" w:cs="Arial"/>
          <w:b/>
          <w:color w:val="000000"/>
          <w:sz w:val="28"/>
          <w:szCs w:val="28"/>
        </w:rPr>
      </w:pPr>
      <w:r>
        <w:rPr>
          <w:rFonts w:ascii="Arial" w:eastAsia="Arial" w:hAnsi="Arial" w:cs="Arial"/>
          <w:b/>
          <w:color w:val="000000"/>
          <w:sz w:val="28"/>
          <w:szCs w:val="28"/>
        </w:rPr>
        <w:t xml:space="preserve">Determinación del uso de suelo en las zonas de Influencia del nuevo Aeropuerto de </w:t>
      </w:r>
    </w:p>
    <w:p w:rsidR="00683B61" w:rsidRDefault="00123F77">
      <w:pPr>
        <w:keepNext/>
        <w:pBdr>
          <w:top w:val="nil"/>
          <w:left w:val="nil"/>
          <w:bottom w:val="nil"/>
          <w:right w:val="nil"/>
          <w:between w:val="nil"/>
        </w:pBdr>
        <w:ind w:left="1260" w:firstLine="226"/>
        <w:jc w:val="center"/>
        <w:rPr>
          <w:rFonts w:ascii="Arial" w:eastAsia="Arial" w:hAnsi="Arial" w:cs="Arial"/>
          <w:b/>
          <w:color w:val="000000"/>
          <w:sz w:val="28"/>
          <w:szCs w:val="28"/>
        </w:rPr>
      </w:pPr>
      <w:r>
        <w:rPr>
          <w:rFonts w:ascii="Arial" w:eastAsia="Arial" w:hAnsi="Arial" w:cs="Arial"/>
          <w:b/>
          <w:color w:val="000000"/>
          <w:sz w:val="28"/>
          <w:szCs w:val="28"/>
        </w:rPr>
        <w:t>Guayaquil-Ecuador</w:t>
      </w:r>
    </w:p>
    <w:p w:rsidR="00683B61" w:rsidRDefault="00683B61">
      <w:pPr>
        <w:pBdr>
          <w:top w:val="nil"/>
          <w:left w:val="nil"/>
          <w:bottom w:val="nil"/>
          <w:right w:val="nil"/>
          <w:between w:val="nil"/>
        </w:pBdr>
        <w:jc w:val="center"/>
        <w:rPr>
          <w:rFonts w:ascii="Arial" w:eastAsia="Arial" w:hAnsi="Arial" w:cs="Arial"/>
          <w:color w:val="000000"/>
          <w:sz w:val="24"/>
          <w:szCs w:val="24"/>
        </w:rPr>
      </w:pPr>
    </w:p>
    <w:p w:rsidR="00683B61" w:rsidRDefault="00A21B76">
      <w:pPr>
        <w:pBdr>
          <w:top w:val="nil"/>
          <w:left w:val="nil"/>
          <w:bottom w:val="nil"/>
          <w:right w:val="nil"/>
          <w:between w:val="nil"/>
        </w:pBdr>
        <w:jc w:val="center"/>
        <w:rPr>
          <w:rFonts w:ascii="Arial" w:eastAsia="Arial" w:hAnsi="Arial" w:cs="Arial"/>
          <w:color w:val="000000"/>
          <w:sz w:val="22"/>
          <w:szCs w:val="22"/>
          <w:vertAlign w:val="superscript"/>
        </w:rPr>
      </w:pPr>
      <w:r>
        <w:rPr>
          <w:rFonts w:ascii="Arial" w:eastAsia="Arial" w:hAnsi="Arial" w:cs="Arial"/>
          <w:color w:val="000000"/>
          <w:sz w:val="22"/>
          <w:szCs w:val="22"/>
        </w:rPr>
        <w:t>Wilson Joel Fuertes</w:t>
      </w:r>
      <w:r>
        <w:rPr>
          <w:rFonts w:ascii="Arial" w:eastAsia="Arial" w:hAnsi="Arial" w:cs="Arial"/>
          <w:color w:val="000000"/>
          <w:sz w:val="22"/>
          <w:szCs w:val="22"/>
          <w:vertAlign w:val="superscript"/>
        </w:rPr>
        <w:t>1</w:t>
      </w:r>
      <w:r w:rsidR="00F1417B">
        <w:rPr>
          <w:rFonts w:ascii="Arial" w:eastAsia="Arial" w:hAnsi="Arial" w:cs="Arial"/>
          <w:color w:val="000000"/>
          <w:sz w:val="22"/>
          <w:szCs w:val="22"/>
        </w:rPr>
        <w:t xml:space="preserve">, </w:t>
      </w:r>
      <w:proofErr w:type="spellStart"/>
      <w:r>
        <w:rPr>
          <w:rFonts w:ascii="Arial" w:eastAsia="Arial" w:hAnsi="Arial" w:cs="Arial"/>
          <w:color w:val="000000"/>
          <w:sz w:val="22"/>
          <w:szCs w:val="22"/>
        </w:rPr>
        <w:t>Anton</w:t>
      </w:r>
      <w:proofErr w:type="spellEnd"/>
      <w:r>
        <w:rPr>
          <w:rFonts w:ascii="Arial" w:eastAsia="Arial" w:hAnsi="Arial" w:cs="Arial"/>
          <w:color w:val="000000"/>
          <w:sz w:val="22"/>
          <w:szCs w:val="22"/>
        </w:rPr>
        <w:t xml:space="preserve"> Eitzinger</w:t>
      </w:r>
      <w:r w:rsidR="00F1417B">
        <w:rPr>
          <w:rFonts w:ascii="Arial" w:eastAsia="Arial" w:hAnsi="Arial" w:cs="Arial"/>
          <w:color w:val="000000"/>
          <w:sz w:val="22"/>
          <w:szCs w:val="22"/>
          <w:vertAlign w:val="superscript"/>
        </w:rPr>
        <w:t>2</w:t>
      </w:r>
      <w:r w:rsidR="00F1417B">
        <w:rPr>
          <w:rFonts w:ascii="Arial" w:eastAsia="Arial" w:hAnsi="Arial" w:cs="Arial"/>
          <w:color w:val="000000"/>
          <w:sz w:val="22"/>
          <w:szCs w:val="22"/>
        </w:rPr>
        <w:t xml:space="preserve">, </w:t>
      </w:r>
      <w:r>
        <w:rPr>
          <w:rFonts w:ascii="Arial" w:eastAsia="Arial" w:hAnsi="Arial" w:cs="Arial"/>
          <w:color w:val="000000"/>
          <w:sz w:val="22"/>
          <w:szCs w:val="22"/>
        </w:rPr>
        <w:t>Marcela Montivero</w:t>
      </w:r>
      <w:r w:rsidR="00F1417B">
        <w:rPr>
          <w:rFonts w:ascii="Arial" w:eastAsia="Arial" w:hAnsi="Arial" w:cs="Arial"/>
          <w:color w:val="000000"/>
          <w:sz w:val="22"/>
          <w:szCs w:val="22"/>
          <w:vertAlign w:val="superscript"/>
        </w:rPr>
        <w:t>3</w:t>
      </w:r>
    </w:p>
    <w:p w:rsidR="00683B61" w:rsidRDefault="00683B61">
      <w:pPr>
        <w:pBdr>
          <w:top w:val="nil"/>
          <w:left w:val="nil"/>
          <w:bottom w:val="nil"/>
          <w:right w:val="nil"/>
          <w:between w:val="nil"/>
        </w:pBdr>
        <w:jc w:val="center"/>
        <w:rPr>
          <w:rFonts w:ascii="Arial" w:eastAsia="Arial" w:hAnsi="Arial" w:cs="Arial"/>
          <w:color w:val="000000"/>
          <w:sz w:val="16"/>
          <w:szCs w:val="16"/>
        </w:rPr>
      </w:pPr>
    </w:p>
    <w:p w:rsidR="00683B61" w:rsidRDefault="00A21B76" w:rsidP="00442709">
      <w:pPr>
        <w:autoSpaceDE w:val="0"/>
        <w:autoSpaceDN w:val="0"/>
        <w:adjustRightInd w:val="0"/>
        <w:jc w:val="center"/>
      </w:pPr>
      <w:r w:rsidRPr="004864AB">
        <w:rPr>
          <w:rFonts w:ascii="Arial" w:eastAsia="Arial" w:hAnsi="Arial" w:cs="Arial"/>
          <w:color w:val="000000"/>
          <w:sz w:val="22"/>
          <w:szCs w:val="22"/>
          <w:vertAlign w:val="superscript"/>
        </w:rPr>
        <w:t>1</w:t>
      </w:r>
      <w:r w:rsidR="004864AB" w:rsidRPr="004864AB">
        <w:rPr>
          <w:rFonts w:ascii="Arial" w:hAnsi="Arial" w:cs="Arial"/>
          <w:sz w:val="22"/>
          <w:szCs w:val="22"/>
        </w:rPr>
        <w:t>Asociación de Consultores Sanitarios y Ambientales C</w:t>
      </w:r>
      <w:r w:rsidR="004864AB">
        <w:rPr>
          <w:rFonts w:ascii="Arial" w:hAnsi="Arial" w:cs="Arial"/>
          <w:sz w:val="22"/>
          <w:szCs w:val="22"/>
        </w:rPr>
        <w:t xml:space="preserve">ía. Ltda. </w:t>
      </w:r>
      <w:r w:rsidR="004864AB" w:rsidRPr="004864AB">
        <w:rPr>
          <w:rFonts w:ascii="Arial" w:hAnsi="Arial" w:cs="Arial"/>
          <w:sz w:val="22"/>
          <w:szCs w:val="22"/>
          <w:lang w:val="es-EC"/>
        </w:rPr>
        <w:t>(ACSAM</w:t>
      </w:r>
      <w:r w:rsidRPr="004864AB">
        <w:rPr>
          <w:rFonts w:ascii="Arial" w:hAnsi="Arial" w:cs="Arial"/>
          <w:sz w:val="22"/>
          <w:szCs w:val="22"/>
          <w:lang w:val="es-EC"/>
        </w:rPr>
        <w:t>)</w:t>
      </w:r>
      <w:r w:rsidR="00F1417B" w:rsidRPr="004864AB">
        <w:rPr>
          <w:rFonts w:ascii="Arial" w:eastAsia="Arial" w:hAnsi="Arial" w:cs="Arial"/>
          <w:color w:val="000000"/>
          <w:sz w:val="22"/>
          <w:szCs w:val="22"/>
          <w:lang w:val="es-EC"/>
        </w:rPr>
        <w:t>,</w:t>
      </w:r>
      <w:r w:rsidRPr="004864AB">
        <w:rPr>
          <w:rFonts w:ascii="Arial" w:eastAsia="Arial" w:hAnsi="Arial" w:cs="Arial"/>
          <w:color w:val="000000"/>
          <w:sz w:val="22"/>
          <w:szCs w:val="22"/>
          <w:lang w:val="es-EC"/>
        </w:rPr>
        <w:t xml:space="preserve"> </w:t>
      </w:r>
      <w:r w:rsidR="004864AB">
        <w:rPr>
          <w:rFonts w:ascii="Arial" w:eastAsia="Arial" w:hAnsi="Arial" w:cs="Arial"/>
          <w:color w:val="000000"/>
          <w:sz w:val="22"/>
          <w:szCs w:val="22"/>
          <w:lang w:val="es-EC"/>
        </w:rPr>
        <w:t>Padre Aguirre 2-66</w:t>
      </w:r>
      <w:r w:rsidR="007C30FB">
        <w:rPr>
          <w:rFonts w:ascii="Arial" w:eastAsia="Arial" w:hAnsi="Arial" w:cs="Arial"/>
          <w:color w:val="000000"/>
          <w:sz w:val="22"/>
          <w:szCs w:val="22"/>
          <w:lang w:val="es-EC"/>
        </w:rPr>
        <w:t xml:space="preserve"> y Tomas de Heres</w:t>
      </w:r>
      <w:bookmarkStart w:id="0" w:name="_GoBack"/>
      <w:bookmarkEnd w:id="0"/>
      <w:r w:rsidR="004864AB">
        <w:rPr>
          <w:rFonts w:ascii="Arial" w:eastAsia="Arial" w:hAnsi="Arial" w:cs="Arial"/>
          <w:color w:val="000000"/>
          <w:sz w:val="22"/>
          <w:szCs w:val="22"/>
          <w:lang w:val="es-EC"/>
        </w:rPr>
        <w:t xml:space="preserve">, Cuenca, </w:t>
      </w:r>
      <w:r w:rsidR="006A1311">
        <w:rPr>
          <w:rFonts w:ascii="Arial" w:eastAsia="Arial" w:hAnsi="Arial" w:cs="Arial"/>
          <w:color w:val="000000"/>
          <w:sz w:val="22"/>
          <w:szCs w:val="22"/>
          <w:lang w:val="es-EC"/>
        </w:rPr>
        <w:t>EC-</w:t>
      </w:r>
      <w:r w:rsidR="004864AB">
        <w:rPr>
          <w:rFonts w:ascii="Arial" w:eastAsia="Arial" w:hAnsi="Arial" w:cs="Arial"/>
          <w:color w:val="000000"/>
          <w:sz w:val="22"/>
          <w:szCs w:val="22"/>
          <w:lang w:val="es-EC"/>
        </w:rPr>
        <w:t>010101</w:t>
      </w:r>
      <w:r w:rsidRPr="004864AB">
        <w:rPr>
          <w:rFonts w:ascii="Arial" w:eastAsia="Arial" w:hAnsi="Arial" w:cs="Arial"/>
          <w:color w:val="000000"/>
          <w:sz w:val="22"/>
          <w:szCs w:val="22"/>
          <w:lang w:val="es-EC"/>
        </w:rPr>
        <w:t>, +593</w:t>
      </w:r>
      <w:r w:rsidR="004864AB">
        <w:rPr>
          <w:rFonts w:ascii="Arial" w:eastAsia="Arial" w:hAnsi="Arial" w:cs="Arial"/>
          <w:color w:val="000000"/>
          <w:sz w:val="22"/>
          <w:szCs w:val="22"/>
          <w:lang w:val="es-EC"/>
        </w:rPr>
        <w:t xml:space="preserve"> (7)</w:t>
      </w:r>
      <w:r w:rsidR="00F1417B" w:rsidRPr="004864AB">
        <w:rPr>
          <w:rFonts w:ascii="Arial" w:eastAsia="Arial" w:hAnsi="Arial" w:cs="Arial"/>
          <w:color w:val="000000"/>
          <w:sz w:val="22"/>
          <w:szCs w:val="22"/>
          <w:lang w:val="es-EC"/>
        </w:rPr>
        <w:t xml:space="preserve"> </w:t>
      </w:r>
      <w:r w:rsidR="004864AB">
        <w:rPr>
          <w:rFonts w:ascii="Arial" w:eastAsia="Arial" w:hAnsi="Arial" w:cs="Arial"/>
          <w:color w:val="000000"/>
          <w:sz w:val="22"/>
          <w:szCs w:val="22"/>
          <w:lang w:val="es-EC"/>
        </w:rPr>
        <w:t>283 3186</w:t>
      </w:r>
      <w:r w:rsidRPr="004864AB">
        <w:rPr>
          <w:rFonts w:ascii="Arial" w:eastAsia="Arial" w:hAnsi="Arial" w:cs="Arial"/>
          <w:color w:val="000000"/>
          <w:sz w:val="22"/>
          <w:szCs w:val="22"/>
          <w:lang w:val="es-EC"/>
        </w:rPr>
        <w:t xml:space="preserve"> </w:t>
      </w:r>
      <w:hyperlink r:id="rId7" w:history="1">
        <w:r w:rsidR="004864AB" w:rsidRPr="004864AB">
          <w:rPr>
            <w:rStyle w:val="Hipervnculo"/>
            <w:rFonts w:ascii="Arial" w:eastAsia="Arial" w:hAnsi="Arial" w:cs="Arial"/>
            <w:position w:val="0"/>
            <w:sz w:val="22"/>
            <w:szCs w:val="22"/>
          </w:rPr>
          <w:t>jfuertes@acsam.net</w:t>
        </w:r>
      </w:hyperlink>
    </w:p>
    <w:p w:rsidR="006A1311" w:rsidRDefault="00F1417B">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2</w:t>
      </w:r>
      <w:r w:rsidR="00442709">
        <w:rPr>
          <w:rFonts w:ascii="Arial" w:eastAsia="Arial" w:hAnsi="Arial" w:cs="Arial"/>
          <w:color w:val="000000"/>
          <w:sz w:val="22"/>
          <w:szCs w:val="22"/>
        </w:rPr>
        <w:t xml:space="preserve">Universidad de </w:t>
      </w:r>
      <w:proofErr w:type="spellStart"/>
      <w:r w:rsidR="00442709">
        <w:rPr>
          <w:rFonts w:ascii="Arial" w:eastAsia="Arial" w:hAnsi="Arial" w:cs="Arial"/>
          <w:color w:val="000000"/>
          <w:sz w:val="22"/>
          <w:szCs w:val="22"/>
        </w:rPr>
        <w:t>Salzburg</w:t>
      </w:r>
      <w:proofErr w:type="spellEnd"/>
      <w:r w:rsidR="00442709">
        <w:rPr>
          <w:rFonts w:ascii="Arial" w:eastAsia="Arial" w:hAnsi="Arial" w:cs="Arial"/>
          <w:color w:val="000000"/>
          <w:sz w:val="22"/>
          <w:szCs w:val="22"/>
        </w:rPr>
        <w:t xml:space="preserve">, </w:t>
      </w:r>
      <w:proofErr w:type="spellStart"/>
      <w:r w:rsidR="00442709">
        <w:rPr>
          <w:rFonts w:ascii="Arial" w:eastAsia="Arial" w:hAnsi="Arial" w:cs="Arial"/>
          <w:color w:val="000000"/>
          <w:sz w:val="22"/>
          <w:szCs w:val="22"/>
        </w:rPr>
        <w:t>Hellbrunnerstrasse</w:t>
      </w:r>
      <w:proofErr w:type="spellEnd"/>
      <w:r w:rsidR="00442709">
        <w:rPr>
          <w:rFonts w:ascii="Arial" w:eastAsia="Arial" w:hAnsi="Arial" w:cs="Arial"/>
          <w:color w:val="000000"/>
          <w:sz w:val="22"/>
          <w:szCs w:val="22"/>
        </w:rPr>
        <w:t xml:space="preserve"> </w:t>
      </w:r>
      <w:proofErr w:type="spellStart"/>
      <w:r w:rsidR="006A1311">
        <w:rPr>
          <w:rFonts w:ascii="Arial" w:eastAsia="Arial" w:hAnsi="Arial" w:cs="Arial"/>
          <w:color w:val="000000"/>
          <w:sz w:val="22"/>
          <w:szCs w:val="22"/>
        </w:rPr>
        <w:t>Strabe</w:t>
      </w:r>
      <w:proofErr w:type="spellEnd"/>
      <w:r w:rsidR="006A1311">
        <w:rPr>
          <w:rFonts w:ascii="Arial" w:eastAsia="Arial" w:hAnsi="Arial" w:cs="Arial"/>
          <w:color w:val="000000"/>
          <w:sz w:val="22"/>
          <w:szCs w:val="22"/>
        </w:rPr>
        <w:t xml:space="preserve"> </w:t>
      </w:r>
      <w:r w:rsidR="00442709">
        <w:rPr>
          <w:rFonts w:ascii="Arial" w:eastAsia="Arial" w:hAnsi="Arial" w:cs="Arial"/>
          <w:color w:val="000000"/>
          <w:sz w:val="22"/>
          <w:szCs w:val="22"/>
        </w:rPr>
        <w:t xml:space="preserve">34, </w:t>
      </w:r>
      <w:proofErr w:type="spellStart"/>
      <w:r w:rsidR="00442709">
        <w:rPr>
          <w:rFonts w:ascii="Arial" w:eastAsia="Arial" w:hAnsi="Arial" w:cs="Arial"/>
          <w:color w:val="000000"/>
          <w:sz w:val="22"/>
          <w:szCs w:val="22"/>
        </w:rPr>
        <w:t>Salzburg</w:t>
      </w:r>
      <w:proofErr w:type="spellEnd"/>
      <w:r w:rsidR="00442709">
        <w:rPr>
          <w:rFonts w:ascii="Arial" w:eastAsia="Arial" w:hAnsi="Arial" w:cs="Arial"/>
          <w:color w:val="000000"/>
          <w:sz w:val="22"/>
          <w:szCs w:val="22"/>
        </w:rPr>
        <w:t xml:space="preserve">, </w:t>
      </w:r>
      <w:r w:rsidR="004864AB">
        <w:rPr>
          <w:rFonts w:ascii="Arial" w:eastAsia="Arial" w:hAnsi="Arial" w:cs="Arial"/>
          <w:color w:val="000000"/>
          <w:sz w:val="22"/>
          <w:szCs w:val="22"/>
        </w:rPr>
        <w:t>A-</w:t>
      </w:r>
      <w:r w:rsidR="00442709">
        <w:rPr>
          <w:rFonts w:ascii="Arial" w:eastAsia="Arial" w:hAnsi="Arial" w:cs="Arial"/>
          <w:color w:val="000000"/>
          <w:sz w:val="22"/>
          <w:szCs w:val="22"/>
        </w:rPr>
        <w:t xml:space="preserve">5020, </w:t>
      </w:r>
    </w:p>
    <w:p w:rsidR="00683B61" w:rsidRDefault="00442709">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 xml:space="preserve">+43 </w:t>
      </w:r>
      <w:r w:rsidR="004864AB">
        <w:rPr>
          <w:rFonts w:ascii="Arial" w:eastAsia="Arial" w:hAnsi="Arial" w:cs="Arial"/>
          <w:color w:val="000000"/>
          <w:sz w:val="22"/>
          <w:szCs w:val="22"/>
        </w:rPr>
        <w:t>(</w:t>
      </w:r>
      <w:r>
        <w:rPr>
          <w:rFonts w:ascii="Arial" w:eastAsia="Arial" w:hAnsi="Arial" w:cs="Arial"/>
          <w:color w:val="000000"/>
          <w:sz w:val="22"/>
          <w:szCs w:val="22"/>
        </w:rPr>
        <w:t>0</w:t>
      </w:r>
      <w:r w:rsidR="004864AB">
        <w:rPr>
          <w:rFonts w:ascii="Arial" w:eastAsia="Arial" w:hAnsi="Arial" w:cs="Arial"/>
          <w:color w:val="000000"/>
          <w:sz w:val="22"/>
          <w:szCs w:val="22"/>
        </w:rPr>
        <w:t xml:space="preserve">) </w:t>
      </w:r>
      <w:r>
        <w:rPr>
          <w:rFonts w:ascii="Arial" w:eastAsia="Arial" w:hAnsi="Arial" w:cs="Arial"/>
          <w:color w:val="000000"/>
          <w:sz w:val="22"/>
          <w:szCs w:val="22"/>
        </w:rPr>
        <w:t>662</w:t>
      </w:r>
      <w:r w:rsidR="004864AB">
        <w:rPr>
          <w:rFonts w:ascii="Arial" w:eastAsia="Arial" w:hAnsi="Arial" w:cs="Arial"/>
          <w:color w:val="000000"/>
          <w:sz w:val="22"/>
          <w:szCs w:val="22"/>
        </w:rPr>
        <w:t xml:space="preserve"> 8044 - </w:t>
      </w:r>
      <w:r>
        <w:rPr>
          <w:rFonts w:ascii="Arial" w:eastAsia="Arial" w:hAnsi="Arial" w:cs="Arial"/>
          <w:color w:val="000000"/>
          <w:sz w:val="22"/>
          <w:szCs w:val="22"/>
        </w:rPr>
        <w:t xml:space="preserve">7502, </w:t>
      </w:r>
      <w:hyperlink r:id="rId8" w:history="1">
        <w:r w:rsidR="00FD7E40" w:rsidRPr="00657EB6">
          <w:rPr>
            <w:rStyle w:val="Hipervnculo"/>
            <w:rFonts w:ascii="Arial" w:eastAsia="Arial" w:hAnsi="Arial" w:cs="Arial"/>
            <w:position w:val="0"/>
            <w:sz w:val="22"/>
            <w:szCs w:val="22"/>
          </w:rPr>
          <w:t>zgis@sbg.ac.at</w:t>
        </w:r>
      </w:hyperlink>
      <w:r w:rsidR="00FD7E40">
        <w:rPr>
          <w:rFonts w:ascii="Arial" w:eastAsia="Arial" w:hAnsi="Arial" w:cs="Arial"/>
          <w:color w:val="000000"/>
          <w:sz w:val="22"/>
          <w:szCs w:val="22"/>
        </w:rPr>
        <w:t xml:space="preserve"> </w:t>
      </w:r>
    </w:p>
    <w:p w:rsidR="00683B61" w:rsidRDefault="00F1417B" w:rsidP="006A1311">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vertAlign w:val="superscript"/>
        </w:rPr>
        <w:t>3</w:t>
      </w:r>
      <w:r w:rsidR="00442709">
        <w:rPr>
          <w:rFonts w:ascii="Arial" w:eastAsia="Arial" w:hAnsi="Arial" w:cs="Arial"/>
          <w:color w:val="000000"/>
          <w:sz w:val="22"/>
          <w:szCs w:val="22"/>
        </w:rPr>
        <w:t>UNIGIS América Latina</w:t>
      </w:r>
      <w:r w:rsidR="00FD7E40">
        <w:rPr>
          <w:rFonts w:ascii="Arial" w:eastAsia="Arial" w:hAnsi="Arial" w:cs="Arial"/>
          <w:color w:val="000000"/>
          <w:sz w:val="22"/>
          <w:szCs w:val="22"/>
        </w:rPr>
        <w:t xml:space="preserve">, </w:t>
      </w:r>
      <w:r w:rsidR="006A1311">
        <w:rPr>
          <w:rFonts w:ascii="Arial" w:eastAsia="Arial" w:hAnsi="Arial" w:cs="Arial"/>
          <w:color w:val="000000"/>
          <w:sz w:val="22"/>
          <w:szCs w:val="22"/>
        </w:rPr>
        <w:t xml:space="preserve">Diego de Robles y Vía Interoceánica </w:t>
      </w:r>
      <w:proofErr w:type="spellStart"/>
      <w:r w:rsidR="00FD7E40">
        <w:rPr>
          <w:rFonts w:ascii="Arial" w:eastAsia="Arial" w:hAnsi="Arial" w:cs="Arial"/>
          <w:color w:val="000000"/>
          <w:sz w:val="22"/>
          <w:szCs w:val="22"/>
        </w:rPr>
        <w:t>GeoCentro</w:t>
      </w:r>
      <w:proofErr w:type="spellEnd"/>
      <w:r w:rsidR="00FD7E40">
        <w:rPr>
          <w:rFonts w:ascii="Arial" w:eastAsia="Arial" w:hAnsi="Arial" w:cs="Arial"/>
          <w:color w:val="000000"/>
          <w:sz w:val="22"/>
          <w:szCs w:val="22"/>
        </w:rPr>
        <w:t xml:space="preserve"> USFQ, </w:t>
      </w:r>
      <w:r w:rsidR="006A1311">
        <w:rPr>
          <w:rFonts w:ascii="Arial" w:eastAsia="Arial" w:hAnsi="Arial" w:cs="Arial"/>
          <w:color w:val="000000"/>
          <w:sz w:val="22"/>
          <w:szCs w:val="22"/>
        </w:rPr>
        <w:t>Quito</w:t>
      </w:r>
      <w:r w:rsidR="00FD7E40">
        <w:rPr>
          <w:rFonts w:ascii="Arial" w:eastAsia="Arial" w:hAnsi="Arial" w:cs="Arial"/>
          <w:color w:val="000000"/>
          <w:sz w:val="22"/>
          <w:szCs w:val="22"/>
        </w:rPr>
        <w:t xml:space="preserve">, </w:t>
      </w:r>
      <w:r w:rsidR="006A1311">
        <w:rPr>
          <w:rFonts w:ascii="Arial" w:eastAsia="Arial" w:hAnsi="Arial" w:cs="Arial"/>
          <w:color w:val="000000"/>
          <w:sz w:val="22"/>
          <w:szCs w:val="22"/>
        </w:rPr>
        <w:t>EC-</w:t>
      </w:r>
      <w:r w:rsidR="00FD7E40">
        <w:rPr>
          <w:rFonts w:ascii="Arial" w:eastAsia="Arial" w:hAnsi="Arial" w:cs="Arial"/>
          <w:color w:val="000000"/>
          <w:sz w:val="22"/>
          <w:szCs w:val="22"/>
        </w:rPr>
        <w:t xml:space="preserve">170901, +593 </w:t>
      </w:r>
      <w:r w:rsidR="004864AB">
        <w:rPr>
          <w:rFonts w:ascii="Arial" w:eastAsia="Arial" w:hAnsi="Arial" w:cs="Arial"/>
          <w:color w:val="000000"/>
          <w:sz w:val="22"/>
          <w:szCs w:val="22"/>
        </w:rPr>
        <w:t>(2) 297 1715</w:t>
      </w:r>
      <w:r w:rsidR="00FD7E40">
        <w:rPr>
          <w:rFonts w:ascii="Arial" w:eastAsia="Arial" w:hAnsi="Arial" w:cs="Arial"/>
          <w:color w:val="000000"/>
          <w:sz w:val="22"/>
          <w:szCs w:val="22"/>
        </w:rPr>
        <w:t xml:space="preserve"> </w:t>
      </w:r>
      <w:hyperlink r:id="rId9" w:history="1">
        <w:r w:rsidR="00FD7E40" w:rsidRPr="00657EB6">
          <w:rPr>
            <w:rStyle w:val="Hipervnculo"/>
            <w:rFonts w:ascii="Arial" w:eastAsia="Arial" w:hAnsi="Arial" w:cs="Arial"/>
            <w:position w:val="0"/>
            <w:sz w:val="22"/>
            <w:szCs w:val="22"/>
          </w:rPr>
          <w:t>office.americalatina@unigis.net</w:t>
        </w:r>
      </w:hyperlink>
      <w:r w:rsidR="00FD7E40">
        <w:rPr>
          <w:rFonts w:ascii="Arial" w:eastAsia="Arial" w:hAnsi="Arial" w:cs="Arial"/>
          <w:color w:val="000000"/>
          <w:sz w:val="22"/>
          <w:szCs w:val="22"/>
        </w:rPr>
        <w:t xml:space="preserve"> </w:t>
      </w:r>
    </w:p>
    <w:p w:rsidR="00683B61" w:rsidRDefault="00683B61">
      <w:pPr>
        <w:pBdr>
          <w:top w:val="nil"/>
          <w:left w:val="nil"/>
          <w:bottom w:val="nil"/>
          <w:right w:val="nil"/>
          <w:between w:val="nil"/>
        </w:pBdr>
        <w:jc w:val="both"/>
        <w:rPr>
          <w:rFonts w:ascii="Arial" w:eastAsia="Arial" w:hAnsi="Arial" w:cs="Arial"/>
          <w:color w:val="000000"/>
          <w:sz w:val="24"/>
          <w:szCs w:val="24"/>
        </w:rPr>
      </w:pPr>
    </w:p>
    <w:p w:rsidR="00087934" w:rsidRPr="00087934" w:rsidRDefault="00F1417B" w:rsidP="00087934">
      <w:pPr>
        <w:pBdr>
          <w:top w:val="nil"/>
          <w:left w:val="nil"/>
          <w:bottom w:val="nil"/>
          <w:right w:val="nil"/>
          <w:between w:val="nil"/>
        </w:pBdr>
        <w:ind w:left="709" w:right="709"/>
        <w:jc w:val="both"/>
        <w:rPr>
          <w:rFonts w:ascii="Arial" w:eastAsia="Arial" w:hAnsi="Arial" w:cs="Arial"/>
          <w:color w:val="000000"/>
          <w:sz w:val="22"/>
          <w:szCs w:val="22"/>
        </w:rPr>
      </w:pPr>
      <w:r w:rsidRPr="00087934">
        <w:rPr>
          <w:rFonts w:ascii="Arial" w:eastAsia="Arial" w:hAnsi="Arial" w:cs="Arial"/>
          <w:b/>
          <w:color w:val="000000"/>
          <w:sz w:val="22"/>
          <w:szCs w:val="22"/>
        </w:rPr>
        <w:t>Resumen:</w:t>
      </w:r>
      <w:r>
        <w:rPr>
          <w:rFonts w:ascii="Arial" w:eastAsia="Arial" w:hAnsi="Arial" w:cs="Arial"/>
          <w:color w:val="000000"/>
          <w:sz w:val="22"/>
          <w:szCs w:val="22"/>
        </w:rPr>
        <w:t xml:space="preserve"> </w:t>
      </w:r>
      <w:r w:rsidR="00087934">
        <w:rPr>
          <w:rFonts w:ascii="Arial" w:eastAsia="Arial" w:hAnsi="Arial" w:cs="Arial"/>
          <w:color w:val="000000"/>
          <w:sz w:val="22"/>
          <w:szCs w:val="22"/>
        </w:rPr>
        <w:t>La</w:t>
      </w:r>
      <w:r w:rsidR="00087934" w:rsidRPr="00087934">
        <w:rPr>
          <w:rFonts w:ascii="Arial" w:eastAsia="Arial" w:hAnsi="Arial" w:cs="Arial"/>
          <w:color w:val="000000"/>
          <w:sz w:val="22"/>
          <w:szCs w:val="22"/>
        </w:rPr>
        <w:t xml:space="preserve"> presente investigación parte de la necesidad sobre el futuro territorial del área de influencia del nuevo aeropuerto de Guayaquil ubicada el sector de </w:t>
      </w:r>
      <w:proofErr w:type="spellStart"/>
      <w:r w:rsidR="00087934" w:rsidRPr="00087934">
        <w:rPr>
          <w:rFonts w:ascii="Arial" w:eastAsia="Arial" w:hAnsi="Arial" w:cs="Arial"/>
          <w:color w:val="000000"/>
          <w:sz w:val="22"/>
          <w:szCs w:val="22"/>
        </w:rPr>
        <w:t>Daular-Chongón</w:t>
      </w:r>
      <w:proofErr w:type="spellEnd"/>
      <w:r w:rsidR="00087934" w:rsidRPr="00087934">
        <w:rPr>
          <w:rFonts w:ascii="Arial" w:eastAsia="Arial" w:hAnsi="Arial" w:cs="Arial"/>
          <w:color w:val="000000"/>
          <w:sz w:val="22"/>
          <w:szCs w:val="22"/>
        </w:rPr>
        <w:t xml:space="preserve">, que no ha tenido cambios significativos en su territorio en los últimos 20 años y se ha </w:t>
      </w:r>
      <w:proofErr w:type="gramStart"/>
      <w:r w:rsidR="00087934" w:rsidRPr="00087934">
        <w:rPr>
          <w:rFonts w:ascii="Arial" w:eastAsia="Arial" w:hAnsi="Arial" w:cs="Arial"/>
          <w:color w:val="000000"/>
          <w:sz w:val="22"/>
          <w:szCs w:val="22"/>
        </w:rPr>
        <w:t>caracterizado</w:t>
      </w:r>
      <w:proofErr w:type="gramEnd"/>
      <w:r w:rsidR="00087934" w:rsidRPr="00087934">
        <w:rPr>
          <w:rFonts w:ascii="Arial" w:eastAsia="Arial" w:hAnsi="Arial" w:cs="Arial"/>
          <w:color w:val="000000"/>
          <w:sz w:val="22"/>
          <w:szCs w:val="22"/>
        </w:rPr>
        <w:t xml:space="preserve"> por su ocupación agrícola, acuícola y de reservas naturales, por lo que puede verse afectado en su economía, con impactos ambientales y otras condiciones que genere la operación del proyecto. </w:t>
      </w:r>
    </w:p>
    <w:p w:rsidR="00087934" w:rsidRPr="00087934" w:rsidRDefault="00087934" w:rsidP="00087934">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color w:val="000000"/>
          <w:sz w:val="22"/>
          <w:szCs w:val="22"/>
        </w:rPr>
        <w:t xml:space="preserve">Se </w:t>
      </w:r>
      <w:r w:rsidRPr="00087934">
        <w:rPr>
          <w:rFonts w:ascii="Arial" w:eastAsia="Arial" w:hAnsi="Arial" w:cs="Arial"/>
          <w:color w:val="000000"/>
          <w:sz w:val="22"/>
          <w:szCs w:val="22"/>
        </w:rPr>
        <w:t>analizó la variación del uso del suelo entre 1998 y 2050, iniciando con una revisión literaria extensa que permitió seleccionar factores geográficos determinantes, entre los cuales destacan la disponibilidad de tierras</w:t>
      </w:r>
      <w:r>
        <w:rPr>
          <w:rFonts w:ascii="Arial" w:eastAsia="Arial" w:hAnsi="Arial" w:cs="Arial"/>
          <w:color w:val="000000"/>
          <w:sz w:val="22"/>
          <w:szCs w:val="22"/>
        </w:rPr>
        <w:t>,</w:t>
      </w:r>
      <w:r w:rsidRPr="00087934">
        <w:rPr>
          <w:rFonts w:ascii="Arial" w:eastAsia="Arial" w:hAnsi="Arial" w:cs="Arial"/>
          <w:color w:val="000000"/>
          <w:sz w:val="22"/>
          <w:szCs w:val="22"/>
        </w:rPr>
        <w:t xml:space="preserve"> cercanía con áreas naturales, el sistema productivo local, y la resistencia al cambio. </w:t>
      </w:r>
    </w:p>
    <w:p w:rsidR="00087934" w:rsidRPr="00087934" w:rsidRDefault="00087934" w:rsidP="00087934">
      <w:pPr>
        <w:pBdr>
          <w:top w:val="nil"/>
          <w:left w:val="nil"/>
          <w:bottom w:val="nil"/>
          <w:right w:val="nil"/>
          <w:between w:val="nil"/>
        </w:pBdr>
        <w:ind w:left="709" w:right="709"/>
        <w:jc w:val="both"/>
        <w:rPr>
          <w:rFonts w:ascii="Arial" w:eastAsia="Arial" w:hAnsi="Arial" w:cs="Arial"/>
          <w:color w:val="000000"/>
          <w:sz w:val="22"/>
          <w:szCs w:val="22"/>
        </w:rPr>
      </w:pPr>
      <w:r w:rsidRPr="00087934">
        <w:rPr>
          <w:rFonts w:ascii="Arial" w:eastAsia="Arial" w:hAnsi="Arial" w:cs="Arial"/>
          <w:color w:val="000000"/>
          <w:sz w:val="22"/>
          <w:szCs w:val="22"/>
        </w:rPr>
        <w:t xml:space="preserve">Posteriormente se identificaron los cambios históricos del periodo 1998 – 2018 mediante el procesamiento de imágenes satelitales, dando a conocer un crecimiento paulatino de zonas antrópicas con efectos de disminución de la actividad agropecuaria, mientras que la acuícola y de zonas naturales permanecieron estables. </w:t>
      </w:r>
    </w:p>
    <w:p w:rsidR="00087934" w:rsidRPr="00087934" w:rsidRDefault="00087934" w:rsidP="00087934">
      <w:pPr>
        <w:pBdr>
          <w:top w:val="nil"/>
          <w:left w:val="nil"/>
          <w:bottom w:val="nil"/>
          <w:right w:val="nil"/>
          <w:between w:val="nil"/>
        </w:pBdr>
        <w:ind w:left="709" w:right="709"/>
        <w:jc w:val="both"/>
        <w:rPr>
          <w:rFonts w:ascii="Arial" w:eastAsia="Arial" w:hAnsi="Arial" w:cs="Arial"/>
          <w:color w:val="000000"/>
          <w:sz w:val="22"/>
          <w:szCs w:val="22"/>
        </w:rPr>
      </w:pPr>
      <w:r w:rsidRPr="00087934">
        <w:rPr>
          <w:rFonts w:ascii="Arial" w:eastAsia="Arial" w:hAnsi="Arial" w:cs="Arial"/>
          <w:color w:val="000000"/>
          <w:sz w:val="22"/>
          <w:szCs w:val="22"/>
        </w:rPr>
        <w:t xml:space="preserve">Finalmente se procedió a realizar la prospección hacia el horizonte del 2050 mediante un diagnóstico integrado de modelización teórica que destaca un escenario conservacionista en donde se advierte la explosión demográfica y disminución de tierras productivas para dar paso a nuevas fuentes de recursos económicos; y por otro lado, un escenario tendencial, en donde no se observan mayores alteraciones y resalta principalmente el crecimiento de zonas acuícolas. </w:t>
      </w:r>
    </w:p>
    <w:p w:rsidR="00087934" w:rsidRDefault="00087934" w:rsidP="00087934">
      <w:pPr>
        <w:pBdr>
          <w:top w:val="nil"/>
          <w:left w:val="nil"/>
          <w:bottom w:val="nil"/>
          <w:right w:val="nil"/>
          <w:between w:val="nil"/>
        </w:pBdr>
        <w:ind w:left="709" w:right="709"/>
        <w:jc w:val="both"/>
        <w:rPr>
          <w:rFonts w:ascii="Arial" w:eastAsia="Arial" w:hAnsi="Arial" w:cs="Arial"/>
          <w:color w:val="000000"/>
          <w:sz w:val="22"/>
          <w:szCs w:val="22"/>
        </w:rPr>
      </w:pPr>
      <w:r w:rsidRPr="00087934">
        <w:rPr>
          <w:rFonts w:ascii="Arial" w:eastAsia="Arial" w:hAnsi="Arial" w:cs="Arial"/>
          <w:color w:val="000000"/>
          <w:sz w:val="22"/>
          <w:szCs w:val="22"/>
        </w:rPr>
        <w:t xml:space="preserve">El megaproyecto podría contribuir al mejoramiento de la calidad de vida de los habitantes, aunque existen altas probabilidades de </w:t>
      </w:r>
      <w:r w:rsidRPr="00087934">
        <w:rPr>
          <w:rFonts w:ascii="Arial" w:eastAsia="Arial" w:hAnsi="Arial" w:cs="Arial"/>
          <w:color w:val="000000"/>
          <w:sz w:val="22"/>
          <w:szCs w:val="22"/>
        </w:rPr>
        <w:lastRenderedPageBreak/>
        <w:t>impactos sociales, económicos y ambientales negativos junto al deterioro del acceso a servicios.</w:t>
      </w:r>
      <w:r>
        <w:rPr>
          <w:rFonts w:ascii="Arial" w:eastAsia="Arial" w:hAnsi="Arial" w:cs="Arial"/>
          <w:color w:val="000000"/>
          <w:sz w:val="22"/>
          <w:szCs w:val="22"/>
        </w:rPr>
        <w:t xml:space="preserve"> </w:t>
      </w:r>
    </w:p>
    <w:p w:rsidR="00683B61" w:rsidRDefault="00683B61">
      <w:pPr>
        <w:pBdr>
          <w:top w:val="nil"/>
          <w:left w:val="nil"/>
          <w:bottom w:val="nil"/>
          <w:right w:val="nil"/>
          <w:between w:val="nil"/>
        </w:pBdr>
        <w:ind w:left="709" w:right="709"/>
        <w:jc w:val="both"/>
        <w:rPr>
          <w:rFonts w:ascii="Arial" w:eastAsia="Arial" w:hAnsi="Arial" w:cs="Arial"/>
          <w:color w:val="000000"/>
          <w:sz w:val="22"/>
          <w:szCs w:val="22"/>
        </w:rPr>
      </w:pPr>
    </w:p>
    <w:p w:rsidR="00683B61" w:rsidRDefault="00F1417B">
      <w:pPr>
        <w:pBdr>
          <w:top w:val="nil"/>
          <w:left w:val="nil"/>
          <w:bottom w:val="nil"/>
          <w:right w:val="nil"/>
          <w:between w:val="nil"/>
        </w:pBdr>
        <w:ind w:left="709" w:right="709"/>
        <w:jc w:val="both"/>
        <w:rPr>
          <w:rFonts w:ascii="Arial" w:eastAsia="Arial" w:hAnsi="Arial" w:cs="Arial"/>
          <w:color w:val="000000"/>
          <w:sz w:val="22"/>
          <w:szCs w:val="22"/>
        </w:rPr>
      </w:pPr>
      <w:r>
        <w:rPr>
          <w:rFonts w:ascii="Arial" w:eastAsia="Arial" w:hAnsi="Arial" w:cs="Arial"/>
          <w:b/>
          <w:color w:val="000000"/>
          <w:sz w:val="22"/>
          <w:szCs w:val="22"/>
        </w:rPr>
        <w:t>Palabras Claves:</w:t>
      </w:r>
      <w:r w:rsidR="00087934">
        <w:rPr>
          <w:rFonts w:ascii="Arial" w:eastAsia="Arial" w:hAnsi="Arial" w:cs="Arial"/>
          <w:color w:val="000000"/>
          <w:sz w:val="22"/>
          <w:szCs w:val="22"/>
        </w:rPr>
        <w:t xml:space="preserve"> </w:t>
      </w:r>
      <w:r w:rsidR="00087934" w:rsidRPr="00087934">
        <w:rPr>
          <w:rFonts w:ascii="Arial" w:eastAsia="Arial" w:hAnsi="Arial" w:cs="Arial"/>
          <w:color w:val="000000"/>
          <w:sz w:val="22"/>
          <w:szCs w:val="22"/>
        </w:rPr>
        <w:t xml:space="preserve">Suelo, Influencia, Aeropuerto, Imagen Satelital, Análisis </w:t>
      </w:r>
      <w:proofErr w:type="spellStart"/>
      <w:r w:rsidR="00087934" w:rsidRPr="00087934">
        <w:rPr>
          <w:rFonts w:ascii="Arial" w:eastAsia="Arial" w:hAnsi="Arial" w:cs="Arial"/>
          <w:color w:val="000000"/>
          <w:sz w:val="22"/>
          <w:szCs w:val="22"/>
        </w:rPr>
        <w:t>Multitemporal</w:t>
      </w:r>
      <w:proofErr w:type="spellEnd"/>
      <w:r w:rsidR="00087934" w:rsidRPr="00087934">
        <w:rPr>
          <w:rFonts w:ascii="Arial" w:eastAsia="Arial" w:hAnsi="Arial" w:cs="Arial"/>
          <w:color w:val="000000"/>
          <w:sz w:val="22"/>
          <w:szCs w:val="22"/>
        </w:rPr>
        <w:t>.</w:t>
      </w:r>
    </w:p>
    <w:p w:rsidR="00683B61" w:rsidRDefault="00683B61">
      <w:pPr>
        <w:pBdr>
          <w:top w:val="nil"/>
          <w:left w:val="nil"/>
          <w:bottom w:val="nil"/>
          <w:right w:val="nil"/>
          <w:between w:val="nil"/>
        </w:pBdr>
        <w:jc w:val="both"/>
        <w:rPr>
          <w:rFonts w:ascii="Arial" w:eastAsia="Arial" w:hAnsi="Arial" w:cs="Arial"/>
          <w:color w:val="000000"/>
          <w:sz w:val="22"/>
          <w:szCs w:val="22"/>
        </w:rPr>
      </w:pPr>
    </w:p>
    <w:p w:rsidR="00683B61" w:rsidRDefault="00F1417B">
      <w:pPr>
        <w:numPr>
          <w:ilvl w:val="0"/>
          <w:numId w:val="1"/>
        </w:numPr>
        <w:pBdr>
          <w:top w:val="nil"/>
          <w:left w:val="nil"/>
          <w:bottom w:val="nil"/>
          <w:right w:val="nil"/>
          <w:between w:val="nil"/>
        </w:pBdr>
        <w:tabs>
          <w:tab w:val="left" w:pos="550"/>
        </w:tabs>
        <w:ind w:left="0" w:firstLine="0"/>
        <w:jc w:val="both"/>
        <w:rPr>
          <w:rFonts w:ascii="Arial" w:eastAsia="Arial" w:hAnsi="Arial" w:cs="Arial"/>
          <w:color w:val="000000"/>
          <w:sz w:val="22"/>
          <w:szCs w:val="22"/>
        </w:rPr>
      </w:pPr>
      <w:r>
        <w:rPr>
          <w:rFonts w:ascii="Arial" w:eastAsia="Arial" w:hAnsi="Arial" w:cs="Arial"/>
          <w:b/>
          <w:color w:val="000000"/>
          <w:sz w:val="22"/>
          <w:szCs w:val="22"/>
        </w:rPr>
        <w:t>INTRODUCCIÓN</w:t>
      </w:r>
    </w:p>
    <w:p w:rsidR="00683B61" w:rsidRDefault="00683B61">
      <w:pPr>
        <w:pBdr>
          <w:top w:val="nil"/>
          <w:left w:val="nil"/>
          <w:bottom w:val="nil"/>
          <w:right w:val="nil"/>
          <w:between w:val="nil"/>
        </w:pBdr>
        <w:jc w:val="both"/>
        <w:rPr>
          <w:rFonts w:ascii="Arial" w:eastAsia="Arial" w:hAnsi="Arial" w:cs="Arial"/>
          <w:color w:val="000000"/>
          <w:sz w:val="22"/>
          <w:szCs w:val="22"/>
        </w:rPr>
      </w:pPr>
    </w:p>
    <w:p w:rsidR="00087934" w:rsidRDefault="00087934" w:rsidP="00893776">
      <w:pPr>
        <w:pBdr>
          <w:top w:val="nil"/>
          <w:left w:val="nil"/>
          <w:bottom w:val="nil"/>
          <w:right w:val="nil"/>
          <w:between w:val="nil"/>
        </w:pBdr>
        <w:jc w:val="both"/>
        <w:rPr>
          <w:rFonts w:ascii="Arial" w:eastAsia="Arial" w:hAnsi="Arial" w:cs="Arial"/>
          <w:color w:val="000000"/>
          <w:sz w:val="22"/>
          <w:szCs w:val="22"/>
        </w:rPr>
      </w:pPr>
      <w:r w:rsidRPr="00087934">
        <w:rPr>
          <w:rFonts w:ascii="Arial" w:eastAsia="Arial" w:hAnsi="Arial" w:cs="Arial"/>
          <w:color w:val="000000"/>
          <w:sz w:val="22"/>
          <w:szCs w:val="22"/>
        </w:rPr>
        <w:t xml:space="preserve">Las actuales características del aeropuerto de la ciudad de Guayaquil-Ecuador tanto a nivel de infraestructura, calidad de servicio, conectividad, sostenibilidad, como en capacidad de transporte, resultan insuficientes para las exigencias de desplazamiento aéreo hacia mediano plazo </w:t>
      </w:r>
      <w:sdt>
        <w:sdtPr>
          <w:rPr>
            <w:rFonts w:ascii="Arial" w:eastAsia="Arial" w:hAnsi="Arial" w:cs="Arial"/>
            <w:color w:val="000000"/>
            <w:sz w:val="22"/>
            <w:szCs w:val="22"/>
          </w:rPr>
          <w:id w:val="-219060320"/>
          <w:citation/>
        </w:sdtPr>
        <w:sdtEndPr/>
        <w:sdtContent>
          <w:r w:rsidRPr="00087934">
            <w:rPr>
              <w:rFonts w:ascii="Arial" w:eastAsia="Arial" w:hAnsi="Arial" w:cs="Arial"/>
              <w:color w:val="000000"/>
              <w:sz w:val="22"/>
              <w:szCs w:val="22"/>
            </w:rPr>
            <w:fldChar w:fldCharType="begin"/>
          </w:r>
          <w:r w:rsidRPr="00087934">
            <w:rPr>
              <w:rFonts w:ascii="Arial" w:eastAsia="Arial" w:hAnsi="Arial" w:cs="Arial"/>
              <w:color w:val="000000"/>
              <w:sz w:val="22"/>
              <w:szCs w:val="22"/>
            </w:rPr>
            <w:instrText xml:space="preserve">CITATION Def17 \l 12298 </w:instrText>
          </w:r>
          <w:r w:rsidRPr="00087934">
            <w:rPr>
              <w:rFonts w:ascii="Arial" w:eastAsia="Arial" w:hAnsi="Arial" w:cs="Arial"/>
              <w:color w:val="000000"/>
              <w:sz w:val="22"/>
              <w:szCs w:val="22"/>
            </w:rPr>
            <w:fldChar w:fldCharType="separate"/>
          </w:r>
          <w:r w:rsidRPr="00087934">
            <w:rPr>
              <w:rFonts w:ascii="Arial" w:eastAsia="Arial" w:hAnsi="Arial" w:cs="Arial"/>
              <w:color w:val="000000"/>
              <w:sz w:val="22"/>
              <w:szCs w:val="22"/>
            </w:rPr>
            <w:t>(Defensoría del Pueblo, 2017)</w:t>
          </w:r>
          <w:r w:rsidRPr="00087934">
            <w:rPr>
              <w:rFonts w:ascii="Arial" w:eastAsia="Arial" w:hAnsi="Arial" w:cs="Arial"/>
              <w:color w:val="000000"/>
              <w:sz w:val="22"/>
              <w:szCs w:val="22"/>
            </w:rPr>
            <w:fldChar w:fldCharType="end"/>
          </w:r>
        </w:sdtContent>
      </w:sdt>
      <w:r w:rsidRPr="00087934">
        <w:rPr>
          <w:rFonts w:ascii="Arial" w:eastAsia="Arial" w:hAnsi="Arial" w:cs="Arial"/>
          <w:color w:val="000000"/>
          <w:sz w:val="22"/>
          <w:szCs w:val="22"/>
        </w:rPr>
        <w:t xml:space="preserve">. Los efectos del crecimiento económico y desarrollo de la urbe; imponen la necesidad de trasformaciones urbanas; entre ellas, la construcción de un nuevo aeropuerto que en el 2029 ocupará una superficie de 2020 hectáreas y prevé solventar una capacidad de hasta 25 millones de usuarios al año </w:t>
      </w:r>
      <w:sdt>
        <w:sdtPr>
          <w:rPr>
            <w:rFonts w:ascii="Arial" w:eastAsia="Arial" w:hAnsi="Arial" w:cs="Arial"/>
            <w:color w:val="000000"/>
            <w:sz w:val="22"/>
            <w:szCs w:val="22"/>
          </w:rPr>
          <w:id w:val="1220872909"/>
          <w:citation/>
        </w:sdtPr>
        <w:sdtEndPr/>
        <w:sdtContent>
          <w:r w:rsidRPr="00087934">
            <w:rPr>
              <w:rFonts w:ascii="Arial" w:eastAsia="Arial" w:hAnsi="Arial" w:cs="Arial"/>
              <w:color w:val="000000"/>
              <w:sz w:val="22"/>
              <w:szCs w:val="22"/>
            </w:rPr>
            <w:fldChar w:fldCharType="begin"/>
          </w:r>
          <w:r w:rsidRPr="00087934">
            <w:rPr>
              <w:rFonts w:ascii="Arial" w:eastAsia="Arial" w:hAnsi="Arial" w:cs="Arial"/>
              <w:color w:val="000000"/>
              <w:sz w:val="22"/>
              <w:szCs w:val="22"/>
            </w:rPr>
            <w:instrText xml:space="preserve">CITATION Niv14 \l 12298 </w:instrText>
          </w:r>
          <w:r w:rsidRPr="00087934">
            <w:rPr>
              <w:rFonts w:ascii="Arial" w:eastAsia="Arial" w:hAnsi="Arial" w:cs="Arial"/>
              <w:color w:val="000000"/>
              <w:sz w:val="22"/>
              <w:szCs w:val="22"/>
            </w:rPr>
            <w:fldChar w:fldCharType="separate"/>
          </w:r>
          <w:r w:rsidRPr="00087934">
            <w:rPr>
              <w:rFonts w:ascii="Arial" w:eastAsia="Arial" w:hAnsi="Arial" w:cs="Arial"/>
              <w:color w:val="000000"/>
              <w:sz w:val="22"/>
              <w:szCs w:val="22"/>
            </w:rPr>
            <w:t>(Nivelo, 2014)</w:t>
          </w:r>
          <w:r w:rsidRPr="00087934">
            <w:rPr>
              <w:rFonts w:ascii="Arial" w:eastAsia="Arial" w:hAnsi="Arial" w:cs="Arial"/>
              <w:color w:val="000000"/>
              <w:sz w:val="22"/>
              <w:szCs w:val="22"/>
            </w:rPr>
            <w:fldChar w:fldCharType="end"/>
          </w:r>
        </w:sdtContent>
      </w:sdt>
      <w:r w:rsidRPr="00087934">
        <w:rPr>
          <w:rFonts w:ascii="Arial" w:eastAsia="Arial" w:hAnsi="Arial" w:cs="Arial"/>
          <w:color w:val="000000"/>
          <w:sz w:val="22"/>
          <w:szCs w:val="22"/>
        </w:rPr>
        <w:t xml:space="preserve">. Localizado en el sector de </w:t>
      </w:r>
      <w:proofErr w:type="spellStart"/>
      <w:r w:rsidRPr="00087934">
        <w:rPr>
          <w:rFonts w:ascii="Arial" w:eastAsia="Arial" w:hAnsi="Arial" w:cs="Arial"/>
          <w:color w:val="000000"/>
          <w:sz w:val="22"/>
          <w:szCs w:val="22"/>
        </w:rPr>
        <w:t>Daular-Chongón</w:t>
      </w:r>
      <w:proofErr w:type="spellEnd"/>
      <w:r w:rsidRPr="00087934">
        <w:rPr>
          <w:rFonts w:ascii="Arial" w:eastAsia="Arial" w:hAnsi="Arial" w:cs="Arial"/>
          <w:color w:val="000000"/>
          <w:sz w:val="22"/>
          <w:szCs w:val="22"/>
        </w:rPr>
        <w:t xml:space="preserve"> a 26 kilómetros del actual (Moreno, </w:t>
      </w:r>
      <w:proofErr w:type="spellStart"/>
      <w:r w:rsidRPr="00087934">
        <w:rPr>
          <w:rFonts w:ascii="Arial" w:eastAsia="Arial" w:hAnsi="Arial" w:cs="Arial"/>
          <w:color w:val="000000"/>
          <w:sz w:val="22"/>
          <w:szCs w:val="22"/>
        </w:rPr>
        <w:t>Villacis</w:t>
      </w:r>
      <w:proofErr w:type="spellEnd"/>
      <w:r w:rsidRPr="00087934">
        <w:rPr>
          <w:rFonts w:ascii="Arial" w:eastAsia="Arial" w:hAnsi="Arial" w:cs="Arial"/>
          <w:color w:val="000000"/>
          <w:sz w:val="22"/>
          <w:szCs w:val="22"/>
        </w:rPr>
        <w:t xml:space="preserve"> y Velasco, 2018). </w:t>
      </w:r>
    </w:p>
    <w:p w:rsidR="00893776" w:rsidRPr="00087934" w:rsidRDefault="00893776" w:rsidP="00893776">
      <w:pPr>
        <w:pBdr>
          <w:top w:val="nil"/>
          <w:left w:val="nil"/>
          <w:bottom w:val="nil"/>
          <w:right w:val="nil"/>
          <w:between w:val="nil"/>
        </w:pBdr>
        <w:jc w:val="both"/>
        <w:rPr>
          <w:rFonts w:ascii="Arial" w:eastAsia="Arial" w:hAnsi="Arial" w:cs="Arial"/>
          <w:color w:val="000000"/>
          <w:sz w:val="22"/>
          <w:szCs w:val="22"/>
        </w:rPr>
      </w:pPr>
    </w:p>
    <w:p w:rsidR="00087934" w:rsidRDefault="00087934" w:rsidP="00893776">
      <w:pPr>
        <w:pBdr>
          <w:top w:val="nil"/>
          <w:left w:val="nil"/>
          <w:bottom w:val="nil"/>
          <w:right w:val="nil"/>
          <w:between w:val="nil"/>
        </w:pBdr>
        <w:jc w:val="both"/>
        <w:rPr>
          <w:rFonts w:ascii="Arial" w:eastAsia="Arial" w:hAnsi="Arial" w:cs="Arial"/>
          <w:color w:val="000000"/>
          <w:sz w:val="22"/>
          <w:szCs w:val="22"/>
        </w:rPr>
      </w:pPr>
      <w:r w:rsidRPr="00087934">
        <w:rPr>
          <w:rFonts w:ascii="Arial" w:eastAsia="Arial" w:hAnsi="Arial" w:cs="Arial"/>
          <w:color w:val="000000"/>
          <w:sz w:val="22"/>
          <w:szCs w:val="22"/>
        </w:rPr>
        <w:t xml:space="preserve">Previo a su construcción, se han considerado distintos aspectos que incluyen impactos ambientales, mercado, localización geográfica, opciones de conectividad e importancia económica </w:t>
      </w:r>
      <w:sdt>
        <w:sdtPr>
          <w:rPr>
            <w:rFonts w:ascii="Arial" w:eastAsia="Arial" w:hAnsi="Arial" w:cs="Arial"/>
            <w:color w:val="000000"/>
            <w:sz w:val="22"/>
            <w:szCs w:val="22"/>
          </w:rPr>
          <w:id w:val="-1062402937"/>
          <w:citation/>
        </w:sdtPr>
        <w:sdtEndPr/>
        <w:sdtContent>
          <w:r w:rsidRPr="00087934">
            <w:rPr>
              <w:rFonts w:ascii="Arial" w:eastAsia="Arial" w:hAnsi="Arial" w:cs="Arial"/>
              <w:color w:val="000000"/>
              <w:sz w:val="22"/>
              <w:szCs w:val="22"/>
            </w:rPr>
            <w:fldChar w:fldCharType="begin"/>
          </w:r>
          <w:r w:rsidRPr="00087934">
            <w:rPr>
              <w:rFonts w:ascii="Arial" w:eastAsia="Arial" w:hAnsi="Arial" w:cs="Arial"/>
              <w:color w:val="000000"/>
              <w:sz w:val="22"/>
              <w:szCs w:val="22"/>
            </w:rPr>
            <w:instrText xml:space="preserve">CITATION est03 \l 12298 </w:instrText>
          </w:r>
          <w:r w:rsidRPr="00087934">
            <w:rPr>
              <w:rFonts w:ascii="Arial" w:eastAsia="Arial" w:hAnsi="Arial" w:cs="Arial"/>
              <w:color w:val="000000"/>
              <w:sz w:val="22"/>
              <w:szCs w:val="22"/>
            </w:rPr>
            <w:fldChar w:fldCharType="separate"/>
          </w:r>
          <w:r w:rsidRPr="00087934">
            <w:rPr>
              <w:rFonts w:ascii="Arial" w:eastAsia="Arial" w:hAnsi="Arial" w:cs="Arial"/>
              <w:color w:val="000000"/>
              <w:sz w:val="22"/>
              <w:szCs w:val="22"/>
            </w:rPr>
            <w:t>(Estrucplan, 2000)</w:t>
          </w:r>
          <w:r w:rsidRPr="00087934">
            <w:rPr>
              <w:rFonts w:ascii="Arial" w:eastAsia="Arial" w:hAnsi="Arial" w:cs="Arial"/>
              <w:color w:val="000000"/>
              <w:sz w:val="22"/>
              <w:szCs w:val="22"/>
            </w:rPr>
            <w:fldChar w:fldCharType="end"/>
          </w:r>
        </w:sdtContent>
      </w:sdt>
      <w:r w:rsidRPr="00087934">
        <w:rPr>
          <w:rFonts w:ascii="Arial" w:eastAsia="Arial" w:hAnsi="Arial" w:cs="Arial"/>
          <w:color w:val="000000"/>
          <w:sz w:val="22"/>
          <w:szCs w:val="22"/>
        </w:rPr>
        <w:t xml:space="preserve">. Sin embargo, no se han encontrado registros de estudios que contemplen los efectos sociodemográficos y económicos a futuro causados por la operación del megaproyecto en el área de influencia que se caracteriza por ser de escaso desarrollo económico, social y cultural, en donde destacan la inadecuada infraestructura y asentamientos habitacionales constituidos empíricamente </w:t>
      </w:r>
      <w:sdt>
        <w:sdtPr>
          <w:rPr>
            <w:rFonts w:ascii="Arial" w:eastAsia="Arial" w:hAnsi="Arial" w:cs="Arial"/>
            <w:color w:val="000000"/>
            <w:sz w:val="22"/>
            <w:szCs w:val="22"/>
          </w:rPr>
          <w:id w:val="-663627745"/>
          <w:citation/>
        </w:sdtPr>
        <w:sdtEndPr/>
        <w:sdtContent>
          <w:r w:rsidRPr="00087934">
            <w:rPr>
              <w:rFonts w:ascii="Arial" w:eastAsia="Arial" w:hAnsi="Arial" w:cs="Arial"/>
              <w:color w:val="000000"/>
              <w:sz w:val="22"/>
              <w:szCs w:val="22"/>
            </w:rPr>
            <w:fldChar w:fldCharType="begin"/>
          </w:r>
          <w:r w:rsidRPr="00087934">
            <w:rPr>
              <w:rFonts w:ascii="Arial" w:eastAsia="Arial" w:hAnsi="Arial" w:cs="Arial"/>
              <w:color w:val="000000"/>
              <w:sz w:val="22"/>
              <w:szCs w:val="22"/>
            </w:rPr>
            <w:instrText xml:space="preserve">CITATION Pre16 \l 12298 </w:instrText>
          </w:r>
          <w:r w:rsidRPr="00087934">
            <w:rPr>
              <w:rFonts w:ascii="Arial" w:eastAsia="Arial" w:hAnsi="Arial" w:cs="Arial"/>
              <w:color w:val="000000"/>
              <w:sz w:val="22"/>
              <w:szCs w:val="22"/>
            </w:rPr>
            <w:fldChar w:fldCharType="separate"/>
          </w:r>
          <w:r w:rsidRPr="00087934">
            <w:rPr>
              <w:rFonts w:ascii="Arial" w:eastAsia="Arial" w:hAnsi="Arial" w:cs="Arial"/>
              <w:color w:val="000000"/>
              <w:sz w:val="22"/>
              <w:szCs w:val="22"/>
            </w:rPr>
            <w:t>(Preciado, 2016)</w:t>
          </w:r>
          <w:r w:rsidRPr="00087934">
            <w:rPr>
              <w:rFonts w:ascii="Arial" w:eastAsia="Arial" w:hAnsi="Arial" w:cs="Arial"/>
              <w:color w:val="000000"/>
              <w:sz w:val="22"/>
              <w:szCs w:val="22"/>
            </w:rPr>
            <w:fldChar w:fldCharType="end"/>
          </w:r>
        </w:sdtContent>
      </w:sdt>
      <w:r w:rsidRPr="00087934">
        <w:rPr>
          <w:rFonts w:ascii="Arial" w:eastAsia="Arial" w:hAnsi="Arial" w:cs="Arial"/>
          <w:color w:val="000000"/>
          <w:sz w:val="22"/>
          <w:szCs w:val="22"/>
        </w:rPr>
        <w:t xml:space="preserve">. </w:t>
      </w:r>
    </w:p>
    <w:p w:rsidR="00893776" w:rsidRPr="00087934" w:rsidRDefault="00893776" w:rsidP="00893776">
      <w:pPr>
        <w:pBdr>
          <w:top w:val="nil"/>
          <w:left w:val="nil"/>
          <w:bottom w:val="nil"/>
          <w:right w:val="nil"/>
          <w:between w:val="nil"/>
        </w:pBdr>
        <w:jc w:val="both"/>
        <w:rPr>
          <w:rFonts w:ascii="Arial" w:eastAsia="Arial" w:hAnsi="Arial" w:cs="Arial"/>
          <w:color w:val="000000"/>
          <w:sz w:val="22"/>
          <w:szCs w:val="22"/>
        </w:rPr>
      </w:pPr>
    </w:p>
    <w:p w:rsidR="00087934" w:rsidRDefault="00087934" w:rsidP="00893776">
      <w:pPr>
        <w:pBdr>
          <w:top w:val="nil"/>
          <w:left w:val="nil"/>
          <w:bottom w:val="nil"/>
          <w:right w:val="nil"/>
          <w:between w:val="nil"/>
        </w:pBdr>
        <w:jc w:val="both"/>
        <w:rPr>
          <w:rFonts w:ascii="Arial" w:eastAsia="Arial" w:hAnsi="Arial" w:cs="Arial"/>
          <w:color w:val="000000"/>
          <w:sz w:val="22"/>
          <w:szCs w:val="22"/>
        </w:rPr>
      </w:pPr>
      <w:r w:rsidRPr="00087934">
        <w:rPr>
          <w:rFonts w:ascii="Arial" w:eastAsia="Arial" w:hAnsi="Arial" w:cs="Arial"/>
          <w:color w:val="000000"/>
          <w:sz w:val="22"/>
          <w:szCs w:val="22"/>
        </w:rPr>
        <w:t xml:space="preserve">Ante este vació de información, la presente investigación aborda el estudio de los cambios en el uso del suelo del sector con la finalidad de obtener una visión general y </w:t>
      </w:r>
      <w:proofErr w:type="spellStart"/>
      <w:r w:rsidRPr="00087934">
        <w:rPr>
          <w:rFonts w:ascii="Arial" w:eastAsia="Arial" w:hAnsi="Arial" w:cs="Arial"/>
          <w:color w:val="000000"/>
          <w:sz w:val="22"/>
          <w:szCs w:val="22"/>
        </w:rPr>
        <w:t>multitemporal</w:t>
      </w:r>
      <w:proofErr w:type="spellEnd"/>
      <w:r w:rsidRPr="00087934">
        <w:rPr>
          <w:rFonts w:ascii="Arial" w:eastAsia="Arial" w:hAnsi="Arial" w:cs="Arial"/>
          <w:color w:val="000000"/>
          <w:sz w:val="22"/>
          <w:szCs w:val="22"/>
        </w:rPr>
        <w:t xml:space="preserve"> que permita conocer el pasado territorial e inferir escenarios futuros probables para prevenir la toma de </w:t>
      </w:r>
      <w:proofErr w:type="spellStart"/>
      <w:r w:rsidRPr="00087934">
        <w:rPr>
          <w:rFonts w:ascii="Arial" w:eastAsia="Arial" w:hAnsi="Arial" w:cs="Arial"/>
          <w:color w:val="000000"/>
          <w:sz w:val="22"/>
          <w:szCs w:val="22"/>
        </w:rPr>
        <w:t>desiciones</w:t>
      </w:r>
      <w:proofErr w:type="spellEnd"/>
      <w:r w:rsidRPr="00087934">
        <w:rPr>
          <w:rFonts w:ascii="Arial" w:eastAsia="Arial" w:hAnsi="Arial" w:cs="Arial"/>
          <w:color w:val="000000"/>
          <w:sz w:val="22"/>
          <w:szCs w:val="22"/>
        </w:rPr>
        <w:t xml:space="preserve"> </w:t>
      </w:r>
      <w:proofErr w:type="spellStart"/>
      <w:r w:rsidRPr="00087934">
        <w:rPr>
          <w:rFonts w:ascii="Arial" w:eastAsia="Arial" w:hAnsi="Arial" w:cs="Arial"/>
          <w:color w:val="000000"/>
          <w:sz w:val="22"/>
          <w:szCs w:val="22"/>
        </w:rPr>
        <w:t>erroneas</w:t>
      </w:r>
      <w:proofErr w:type="spellEnd"/>
      <w:r w:rsidRPr="00087934">
        <w:rPr>
          <w:rFonts w:ascii="Arial" w:eastAsia="Arial" w:hAnsi="Arial" w:cs="Arial"/>
          <w:color w:val="000000"/>
          <w:sz w:val="22"/>
          <w:szCs w:val="22"/>
        </w:rPr>
        <w:t xml:space="preserve"> y facilitar la planificación por parte de las autoridades competentes. Partiendo de la hipótesis de que debido a que </w:t>
      </w:r>
      <w:proofErr w:type="spellStart"/>
      <w:r w:rsidRPr="00087934">
        <w:rPr>
          <w:rFonts w:ascii="Arial" w:eastAsia="Arial" w:hAnsi="Arial" w:cs="Arial"/>
          <w:color w:val="000000"/>
          <w:sz w:val="22"/>
          <w:szCs w:val="22"/>
        </w:rPr>
        <w:t>Daular</w:t>
      </w:r>
      <w:proofErr w:type="spellEnd"/>
      <w:r w:rsidRPr="00087934">
        <w:rPr>
          <w:rFonts w:ascii="Arial" w:eastAsia="Arial" w:hAnsi="Arial" w:cs="Arial"/>
          <w:color w:val="000000"/>
          <w:sz w:val="22"/>
          <w:szCs w:val="22"/>
        </w:rPr>
        <w:t xml:space="preserve"> ha permanecido sin variaciones significativas en sus características geomorfológicas durante los últimos años, el emplazamiento del nuevo aeropuerto puede constituirse en el punto de partida para nuevos y radicales cambios en los usos del suelo hacia el futuro próximo.</w:t>
      </w:r>
    </w:p>
    <w:p w:rsidR="00893776" w:rsidRPr="00087934" w:rsidRDefault="00893776" w:rsidP="00893776">
      <w:pPr>
        <w:pBdr>
          <w:top w:val="nil"/>
          <w:left w:val="nil"/>
          <w:bottom w:val="nil"/>
          <w:right w:val="nil"/>
          <w:between w:val="nil"/>
        </w:pBdr>
        <w:jc w:val="both"/>
        <w:rPr>
          <w:rFonts w:ascii="Arial" w:eastAsia="Arial" w:hAnsi="Arial" w:cs="Arial"/>
          <w:color w:val="000000"/>
          <w:sz w:val="22"/>
          <w:szCs w:val="22"/>
        </w:rPr>
      </w:pPr>
    </w:p>
    <w:p w:rsidR="00087934" w:rsidRDefault="00087934" w:rsidP="00893776">
      <w:pPr>
        <w:pBdr>
          <w:top w:val="nil"/>
          <w:left w:val="nil"/>
          <w:bottom w:val="nil"/>
          <w:right w:val="nil"/>
          <w:between w:val="nil"/>
        </w:pBdr>
        <w:jc w:val="both"/>
        <w:rPr>
          <w:rFonts w:ascii="Arial" w:eastAsia="Arial" w:hAnsi="Arial" w:cs="Arial"/>
          <w:color w:val="000000"/>
          <w:sz w:val="22"/>
          <w:szCs w:val="22"/>
        </w:rPr>
      </w:pPr>
      <w:r w:rsidRPr="00087934">
        <w:rPr>
          <w:rFonts w:ascii="Arial" w:eastAsia="Arial" w:hAnsi="Arial" w:cs="Arial"/>
          <w:color w:val="000000"/>
          <w:sz w:val="22"/>
          <w:szCs w:val="22"/>
        </w:rPr>
        <w:t xml:space="preserve">En un caso similar, Moreno et al. (2017), analizó el impacto relacionado con la construcción del nuevo Aeropuerto Internacional de la ciudad de México en una zona de carácter </w:t>
      </w:r>
      <w:proofErr w:type="spellStart"/>
      <w:r w:rsidRPr="00087934">
        <w:rPr>
          <w:rFonts w:ascii="Arial" w:eastAsia="Arial" w:hAnsi="Arial" w:cs="Arial"/>
          <w:color w:val="000000"/>
          <w:sz w:val="22"/>
          <w:szCs w:val="22"/>
        </w:rPr>
        <w:t>semi</w:t>
      </w:r>
      <w:proofErr w:type="spellEnd"/>
      <w:r w:rsidRPr="00087934">
        <w:rPr>
          <w:rFonts w:ascii="Arial" w:eastAsia="Arial" w:hAnsi="Arial" w:cs="Arial"/>
          <w:color w:val="000000"/>
          <w:sz w:val="22"/>
          <w:szCs w:val="22"/>
        </w:rPr>
        <w:t xml:space="preserve">-rural. Concluyó que el proyecto podría interferir directamente en la economía de los pequeños municipios aledaños los cuales no cuentan con infraestructura suficiente que permita albergar un crecimiento de población inmediato, lo que sería </w:t>
      </w:r>
      <w:proofErr w:type="spellStart"/>
      <w:r w:rsidRPr="00087934">
        <w:rPr>
          <w:rFonts w:ascii="Arial" w:eastAsia="Arial" w:hAnsi="Arial" w:cs="Arial"/>
          <w:color w:val="000000"/>
          <w:sz w:val="22"/>
          <w:szCs w:val="22"/>
        </w:rPr>
        <w:t>detrimente</w:t>
      </w:r>
      <w:proofErr w:type="spellEnd"/>
      <w:r w:rsidRPr="00087934">
        <w:rPr>
          <w:rFonts w:ascii="Arial" w:eastAsia="Arial" w:hAnsi="Arial" w:cs="Arial"/>
          <w:color w:val="000000"/>
          <w:sz w:val="22"/>
          <w:szCs w:val="22"/>
        </w:rPr>
        <w:t xml:space="preserve"> para la disponibilidad de bienes y </w:t>
      </w:r>
      <w:r w:rsidRPr="00087934">
        <w:rPr>
          <w:rFonts w:ascii="Arial" w:eastAsia="Arial" w:hAnsi="Arial" w:cs="Arial"/>
          <w:color w:val="000000"/>
          <w:sz w:val="22"/>
          <w:szCs w:val="22"/>
        </w:rPr>
        <w:lastRenderedPageBreak/>
        <w:t xml:space="preserve">servicios, nuevos procesos productivos y competitividad. Igualmente, se corre el riesgo de comprometer la seguridad ciudadana y cultural debido a la mayor migración y tránsito obligado de personas. Por otro lado, advierte de efectos adversos al medio ambiente por el repentino cambio de uso de suelo, incluyendo la extinción de zonas naturales. Otros estudios demuestran que los cambios drásticos en el territorio como construcción de megaproyectos o expansión desordenada pueden tener efectos negativos e </w:t>
      </w:r>
      <w:proofErr w:type="spellStart"/>
      <w:r w:rsidRPr="00087934">
        <w:rPr>
          <w:rFonts w:ascii="Arial" w:eastAsia="Arial" w:hAnsi="Arial" w:cs="Arial"/>
          <w:color w:val="000000"/>
          <w:sz w:val="22"/>
          <w:szCs w:val="22"/>
        </w:rPr>
        <w:t>impredescibles</w:t>
      </w:r>
      <w:proofErr w:type="spellEnd"/>
      <w:r w:rsidRPr="00087934">
        <w:rPr>
          <w:rFonts w:ascii="Arial" w:eastAsia="Arial" w:hAnsi="Arial" w:cs="Arial"/>
          <w:color w:val="000000"/>
          <w:sz w:val="22"/>
          <w:szCs w:val="22"/>
        </w:rPr>
        <w:t xml:space="preserve"> si no son planificados de manera integral. Por ejemplo, Pinos (2016), concluyó que la expansión discontinua de la mancha urbana en el cantón Cuenca-Ecuador, tiene un impacto directo sobre la biodiversidad y ocasiona la </w:t>
      </w:r>
      <w:proofErr w:type="spellStart"/>
      <w:r w:rsidRPr="00087934">
        <w:rPr>
          <w:rFonts w:ascii="Arial" w:eastAsia="Arial" w:hAnsi="Arial" w:cs="Arial"/>
          <w:color w:val="000000"/>
          <w:sz w:val="22"/>
          <w:szCs w:val="22"/>
        </w:rPr>
        <w:t>fragmentación</w:t>
      </w:r>
      <w:proofErr w:type="spellEnd"/>
      <w:r w:rsidRPr="00087934">
        <w:rPr>
          <w:rFonts w:ascii="Arial" w:eastAsia="Arial" w:hAnsi="Arial" w:cs="Arial"/>
          <w:color w:val="000000"/>
          <w:sz w:val="22"/>
          <w:szCs w:val="22"/>
        </w:rPr>
        <w:t xml:space="preserve"> de </w:t>
      </w:r>
      <w:proofErr w:type="spellStart"/>
      <w:r w:rsidRPr="00087934">
        <w:rPr>
          <w:rFonts w:ascii="Arial" w:eastAsia="Arial" w:hAnsi="Arial" w:cs="Arial"/>
          <w:color w:val="000000"/>
          <w:sz w:val="22"/>
          <w:szCs w:val="22"/>
        </w:rPr>
        <w:t>hábitats</w:t>
      </w:r>
      <w:proofErr w:type="spellEnd"/>
      <w:r w:rsidRPr="00087934">
        <w:rPr>
          <w:rFonts w:ascii="Arial" w:eastAsia="Arial" w:hAnsi="Arial" w:cs="Arial"/>
          <w:color w:val="000000"/>
          <w:sz w:val="22"/>
          <w:szCs w:val="22"/>
        </w:rPr>
        <w:t xml:space="preserve">. La prospección determinó que el comportamiento tendencial al año 2030 provocaría desplazamientos de </w:t>
      </w:r>
      <w:proofErr w:type="spellStart"/>
      <w:r w:rsidRPr="00087934">
        <w:rPr>
          <w:rFonts w:ascii="Arial" w:eastAsia="Arial" w:hAnsi="Arial" w:cs="Arial"/>
          <w:color w:val="000000"/>
          <w:sz w:val="22"/>
          <w:szCs w:val="22"/>
        </w:rPr>
        <w:t>áreas</w:t>
      </w:r>
      <w:proofErr w:type="spellEnd"/>
      <w:r w:rsidRPr="00087934">
        <w:rPr>
          <w:rFonts w:ascii="Arial" w:eastAsia="Arial" w:hAnsi="Arial" w:cs="Arial"/>
          <w:color w:val="000000"/>
          <w:sz w:val="22"/>
          <w:szCs w:val="22"/>
        </w:rPr>
        <w:t xml:space="preserve"> agro-productivas a regiones </w:t>
      </w:r>
      <w:proofErr w:type="spellStart"/>
      <w:r w:rsidRPr="00087934">
        <w:rPr>
          <w:rFonts w:ascii="Arial" w:eastAsia="Arial" w:hAnsi="Arial" w:cs="Arial"/>
          <w:color w:val="000000"/>
          <w:sz w:val="22"/>
          <w:szCs w:val="22"/>
        </w:rPr>
        <w:t>más</w:t>
      </w:r>
      <w:proofErr w:type="spellEnd"/>
      <w:r w:rsidRPr="00087934">
        <w:rPr>
          <w:rFonts w:ascii="Arial" w:eastAsia="Arial" w:hAnsi="Arial" w:cs="Arial"/>
          <w:color w:val="000000"/>
          <w:sz w:val="22"/>
          <w:szCs w:val="22"/>
        </w:rPr>
        <w:t xml:space="preserve"> altas (páramos) y </w:t>
      </w:r>
      <w:proofErr w:type="spellStart"/>
      <w:r w:rsidRPr="00087934">
        <w:rPr>
          <w:rFonts w:ascii="Arial" w:eastAsia="Arial" w:hAnsi="Arial" w:cs="Arial"/>
          <w:color w:val="000000"/>
          <w:sz w:val="22"/>
          <w:szCs w:val="22"/>
        </w:rPr>
        <w:t>disminución</w:t>
      </w:r>
      <w:proofErr w:type="spellEnd"/>
      <w:r w:rsidRPr="00087934">
        <w:rPr>
          <w:rFonts w:ascii="Arial" w:eastAsia="Arial" w:hAnsi="Arial" w:cs="Arial"/>
          <w:color w:val="000000"/>
          <w:sz w:val="22"/>
          <w:szCs w:val="22"/>
        </w:rPr>
        <w:t xml:space="preserve"> de coberturas naturales. Mientras que, Rosales (2013), determinó que luego de la implementación del nuevo aeropuerto Internacional de Quito-Ecuador, el área de influencia se benefició económica y socialmente; sin embargo, este desarrollo repentino puede empujar a la urbanización de áreas </w:t>
      </w:r>
      <w:proofErr w:type="spellStart"/>
      <w:r w:rsidRPr="00087934">
        <w:rPr>
          <w:rFonts w:ascii="Arial" w:eastAsia="Arial" w:hAnsi="Arial" w:cs="Arial"/>
          <w:color w:val="000000"/>
          <w:sz w:val="22"/>
          <w:szCs w:val="22"/>
        </w:rPr>
        <w:t>agricolas</w:t>
      </w:r>
      <w:proofErr w:type="spellEnd"/>
      <w:r w:rsidRPr="00087934">
        <w:rPr>
          <w:rFonts w:ascii="Arial" w:eastAsia="Arial" w:hAnsi="Arial" w:cs="Arial"/>
          <w:color w:val="000000"/>
          <w:sz w:val="22"/>
          <w:szCs w:val="22"/>
        </w:rPr>
        <w:t>, quebradas o zonas naturales; causando pérdida de medios de vida, exposición a riesgos y desaparición de hábitats.</w:t>
      </w:r>
    </w:p>
    <w:p w:rsidR="00893776" w:rsidRPr="00087934" w:rsidRDefault="00893776" w:rsidP="00893776">
      <w:pPr>
        <w:pBdr>
          <w:top w:val="nil"/>
          <w:left w:val="nil"/>
          <w:bottom w:val="nil"/>
          <w:right w:val="nil"/>
          <w:between w:val="nil"/>
        </w:pBdr>
        <w:jc w:val="both"/>
        <w:rPr>
          <w:rFonts w:ascii="Arial" w:eastAsia="Arial" w:hAnsi="Arial" w:cs="Arial"/>
          <w:color w:val="000000"/>
          <w:sz w:val="22"/>
          <w:szCs w:val="22"/>
        </w:rPr>
      </w:pPr>
    </w:p>
    <w:p w:rsidR="00087934" w:rsidRPr="00087934" w:rsidRDefault="00087934" w:rsidP="00893776">
      <w:pPr>
        <w:pBdr>
          <w:top w:val="nil"/>
          <w:left w:val="nil"/>
          <w:bottom w:val="nil"/>
          <w:right w:val="nil"/>
          <w:between w:val="nil"/>
        </w:pBdr>
        <w:jc w:val="both"/>
        <w:rPr>
          <w:rFonts w:ascii="Arial" w:eastAsia="Arial" w:hAnsi="Arial" w:cs="Arial"/>
          <w:color w:val="000000"/>
          <w:sz w:val="22"/>
          <w:szCs w:val="22"/>
        </w:rPr>
      </w:pPr>
      <w:r w:rsidRPr="00087934">
        <w:rPr>
          <w:rFonts w:ascii="Arial" w:eastAsia="Arial" w:hAnsi="Arial" w:cs="Arial"/>
          <w:color w:val="000000"/>
          <w:sz w:val="22"/>
          <w:szCs w:val="22"/>
        </w:rPr>
        <w:t xml:space="preserve">El trabajo en cuestión, tiene el objetivo de contribuir a responder a las interrogantes de </w:t>
      </w:r>
      <w:r w:rsidR="00893776" w:rsidRPr="00087934">
        <w:rPr>
          <w:rFonts w:ascii="Arial" w:eastAsia="Arial" w:hAnsi="Arial" w:cs="Arial"/>
          <w:color w:val="000000"/>
          <w:sz w:val="22"/>
          <w:szCs w:val="22"/>
        </w:rPr>
        <w:t>cuáles</w:t>
      </w:r>
      <w:r w:rsidRPr="00087934">
        <w:rPr>
          <w:rFonts w:ascii="Arial" w:eastAsia="Arial" w:hAnsi="Arial" w:cs="Arial"/>
          <w:color w:val="000000"/>
          <w:sz w:val="22"/>
          <w:szCs w:val="22"/>
        </w:rPr>
        <w:t xml:space="preserve"> son los factores determinantes geográficos en la zona, cuáles han sido los cambios de uso del suelo durante los últimos 20 años y qué cambios se pudieran producir en los próximos 30 años. Pretende ser una línea base para estudios más profundos; incentivando al mismo tiempo a difundir información oportuna a autoridades y pobladores, de forma tal que el proyecto previsto para el año 2029 genere el menor impacto negativo económico ambiental y social y se potencien los impactos positivos. </w:t>
      </w:r>
    </w:p>
    <w:p w:rsidR="00683B61" w:rsidRDefault="00683B61">
      <w:pPr>
        <w:pBdr>
          <w:top w:val="nil"/>
          <w:left w:val="nil"/>
          <w:bottom w:val="nil"/>
          <w:right w:val="nil"/>
          <w:between w:val="nil"/>
        </w:pBdr>
        <w:jc w:val="center"/>
        <w:rPr>
          <w:rFonts w:ascii="Arial" w:eastAsia="Arial" w:hAnsi="Arial" w:cs="Arial"/>
          <w:color w:val="000000"/>
          <w:sz w:val="8"/>
          <w:szCs w:val="8"/>
        </w:rPr>
      </w:pPr>
    </w:p>
    <w:p w:rsidR="00683B61" w:rsidRDefault="00683B61">
      <w:pPr>
        <w:pBdr>
          <w:top w:val="nil"/>
          <w:left w:val="nil"/>
          <w:bottom w:val="nil"/>
          <w:right w:val="nil"/>
          <w:between w:val="nil"/>
        </w:pBdr>
        <w:jc w:val="both"/>
        <w:rPr>
          <w:rFonts w:ascii="Arial" w:eastAsia="Arial" w:hAnsi="Arial" w:cs="Arial"/>
          <w:color w:val="000000"/>
          <w:sz w:val="4"/>
          <w:szCs w:val="4"/>
        </w:rPr>
      </w:pPr>
    </w:p>
    <w:p w:rsidR="00683B61" w:rsidRDefault="00683B61">
      <w:pPr>
        <w:pBdr>
          <w:top w:val="nil"/>
          <w:left w:val="nil"/>
          <w:bottom w:val="nil"/>
          <w:right w:val="nil"/>
          <w:between w:val="nil"/>
        </w:pBdr>
        <w:jc w:val="both"/>
        <w:rPr>
          <w:rFonts w:ascii="Arial" w:eastAsia="Arial" w:hAnsi="Arial" w:cs="Arial"/>
          <w:color w:val="000000"/>
          <w:sz w:val="4"/>
          <w:szCs w:val="4"/>
        </w:rPr>
      </w:pPr>
    </w:p>
    <w:p w:rsidR="00683B61" w:rsidRDefault="00683B61">
      <w:pPr>
        <w:pBdr>
          <w:top w:val="nil"/>
          <w:left w:val="nil"/>
          <w:bottom w:val="nil"/>
          <w:right w:val="nil"/>
          <w:between w:val="nil"/>
        </w:pBdr>
        <w:jc w:val="center"/>
        <w:rPr>
          <w:rFonts w:ascii="Arial" w:eastAsia="Arial" w:hAnsi="Arial" w:cs="Arial"/>
          <w:color w:val="000000"/>
          <w:sz w:val="22"/>
          <w:szCs w:val="22"/>
        </w:rPr>
      </w:pPr>
    </w:p>
    <w:p w:rsidR="00683B61" w:rsidRDefault="00893776">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ÁREA DE ESTUDIO</w:t>
      </w:r>
    </w:p>
    <w:p w:rsidR="00683B61" w:rsidRDefault="00683B61">
      <w:pPr>
        <w:pBdr>
          <w:top w:val="nil"/>
          <w:left w:val="nil"/>
          <w:bottom w:val="nil"/>
          <w:right w:val="nil"/>
          <w:between w:val="nil"/>
        </w:pBdr>
        <w:jc w:val="both"/>
        <w:rPr>
          <w:rFonts w:ascii="Arial" w:eastAsia="Arial" w:hAnsi="Arial" w:cs="Arial"/>
          <w:color w:val="000000"/>
          <w:sz w:val="22"/>
          <w:szCs w:val="22"/>
        </w:rPr>
      </w:pPr>
    </w:p>
    <w:p w:rsidR="00893776" w:rsidRPr="00893776" w:rsidRDefault="00893776" w:rsidP="00893776">
      <w:pPr>
        <w:pBdr>
          <w:top w:val="nil"/>
          <w:left w:val="nil"/>
          <w:bottom w:val="nil"/>
          <w:right w:val="nil"/>
          <w:between w:val="nil"/>
        </w:pBdr>
        <w:jc w:val="both"/>
        <w:rPr>
          <w:rFonts w:ascii="Arial" w:eastAsia="Arial" w:hAnsi="Arial" w:cs="Arial"/>
          <w:color w:val="000000"/>
          <w:sz w:val="22"/>
          <w:szCs w:val="22"/>
        </w:rPr>
      </w:pPr>
      <w:r w:rsidRPr="00893776">
        <w:rPr>
          <w:rFonts w:ascii="Arial" w:eastAsia="Arial" w:hAnsi="Arial" w:cs="Arial"/>
          <w:color w:val="000000"/>
          <w:sz w:val="22"/>
          <w:szCs w:val="22"/>
        </w:rPr>
        <w:t xml:space="preserve">Para los propósitos de la presente investigación, se seleccionó el área de estudio en concordancia con lo determinado por la Autoridad aeroportuaria de Guayaquil, como zona de influencia directa del proyecto, la cual, se encuentra localizada a 26km al oeste de la ciudad de Guayaquil en la zona </w:t>
      </w:r>
      <w:proofErr w:type="spellStart"/>
      <w:r w:rsidRPr="00893776">
        <w:rPr>
          <w:rFonts w:ascii="Arial" w:eastAsia="Arial" w:hAnsi="Arial" w:cs="Arial"/>
          <w:color w:val="000000"/>
          <w:sz w:val="22"/>
          <w:szCs w:val="22"/>
        </w:rPr>
        <w:t>Daular</w:t>
      </w:r>
      <w:proofErr w:type="spellEnd"/>
      <w:r w:rsidRPr="00893776">
        <w:rPr>
          <w:rFonts w:ascii="Arial" w:eastAsia="Arial" w:hAnsi="Arial" w:cs="Arial"/>
          <w:color w:val="000000"/>
          <w:sz w:val="22"/>
          <w:szCs w:val="22"/>
        </w:rPr>
        <w:t xml:space="preserve"> – </w:t>
      </w:r>
      <w:proofErr w:type="spellStart"/>
      <w:r w:rsidRPr="00893776">
        <w:rPr>
          <w:rFonts w:ascii="Arial" w:eastAsia="Arial" w:hAnsi="Arial" w:cs="Arial"/>
          <w:color w:val="000000"/>
          <w:sz w:val="22"/>
          <w:szCs w:val="22"/>
        </w:rPr>
        <w:t>Chongón</w:t>
      </w:r>
      <w:proofErr w:type="spellEnd"/>
      <w:r w:rsidRPr="00893776">
        <w:rPr>
          <w:rFonts w:ascii="Arial" w:eastAsia="Arial" w:hAnsi="Arial" w:cs="Arial"/>
          <w:color w:val="000000"/>
          <w:sz w:val="22"/>
          <w:szCs w:val="22"/>
        </w:rPr>
        <w:t xml:space="preserve">. Abarca 16 centros poblados, iniciando en el poblado 24 de mayo hasta los poblados de San Andrés y Sabana Grande, con un recorrido de 42 kilómetros, por la autovía Guayaquil – Progreso y ocupando una superficie aproximada total de 100000 hectáreas. Desde el punto de vista geográfico (Figura 1), está localizada entre las coordenadas 79° 57’ y 80° 18’ de longitud occidental y 2° 06’ y 2° 37’ de latitud Sur </w:t>
      </w:r>
      <w:sdt>
        <w:sdtPr>
          <w:rPr>
            <w:rFonts w:ascii="Arial" w:eastAsia="Arial" w:hAnsi="Arial" w:cs="Arial"/>
            <w:color w:val="000000"/>
            <w:sz w:val="22"/>
            <w:szCs w:val="22"/>
          </w:rPr>
          <w:id w:val="-853334370"/>
          <w:citation/>
        </w:sdtPr>
        <w:sdtEndPr/>
        <w:sdtContent>
          <w:r w:rsidRPr="00893776">
            <w:rPr>
              <w:rFonts w:ascii="Arial" w:eastAsia="Arial" w:hAnsi="Arial" w:cs="Arial"/>
              <w:color w:val="000000"/>
              <w:sz w:val="22"/>
              <w:szCs w:val="22"/>
            </w:rPr>
            <w:fldChar w:fldCharType="begin"/>
          </w:r>
          <w:r w:rsidRPr="00893776">
            <w:rPr>
              <w:rFonts w:ascii="Arial" w:eastAsia="Arial" w:hAnsi="Arial" w:cs="Arial"/>
              <w:color w:val="000000"/>
              <w:sz w:val="22"/>
              <w:szCs w:val="22"/>
            </w:rPr>
            <w:instrText xml:space="preserve">CITATION MarcadorDePosición2 \l 12298 </w:instrText>
          </w:r>
          <w:r w:rsidRPr="00893776">
            <w:rPr>
              <w:rFonts w:ascii="Arial" w:eastAsia="Arial" w:hAnsi="Arial" w:cs="Arial"/>
              <w:color w:val="000000"/>
              <w:sz w:val="22"/>
              <w:szCs w:val="22"/>
            </w:rPr>
            <w:fldChar w:fldCharType="separate"/>
          </w:r>
          <w:r w:rsidRPr="00893776">
            <w:rPr>
              <w:rFonts w:ascii="Arial" w:eastAsia="Arial" w:hAnsi="Arial" w:cs="Arial"/>
              <w:color w:val="000000"/>
              <w:sz w:val="22"/>
              <w:szCs w:val="22"/>
            </w:rPr>
            <w:t>(AAG, 2009)</w:t>
          </w:r>
          <w:r w:rsidRPr="00893776">
            <w:rPr>
              <w:rFonts w:ascii="Arial" w:eastAsia="Arial" w:hAnsi="Arial" w:cs="Arial"/>
              <w:color w:val="000000"/>
              <w:sz w:val="22"/>
              <w:szCs w:val="22"/>
            </w:rPr>
            <w:fldChar w:fldCharType="end"/>
          </w:r>
        </w:sdtContent>
      </w:sdt>
      <w:r w:rsidRPr="00893776">
        <w:rPr>
          <w:rFonts w:ascii="Arial" w:eastAsia="Arial" w:hAnsi="Arial" w:cs="Arial"/>
          <w:color w:val="000000"/>
          <w:sz w:val="22"/>
          <w:szCs w:val="22"/>
        </w:rPr>
        <w:t xml:space="preserve">. </w:t>
      </w:r>
    </w:p>
    <w:p w:rsidR="00893776" w:rsidRDefault="00893776" w:rsidP="00893776">
      <w:pPr>
        <w:jc w:val="center"/>
        <w:rPr>
          <w:rFonts w:ascii="Arial" w:hAnsi="Arial" w:cs="Arial"/>
          <w:noProof/>
        </w:rPr>
      </w:pPr>
      <w:r w:rsidRPr="007C7E62">
        <w:rPr>
          <w:rFonts w:ascii="Arial" w:hAnsi="Arial" w:cs="Arial"/>
          <w:noProof/>
          <w:lang w:val="es-EC"/>
        </w:rPr>
        <w:lastRenderedPageBreak/>
        <w:drawing>
          <wp:inline distT="0" distB="0" distL="0" distR="0">
            <wp:extent cx="3600000" cy="3933407"/>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endio.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600000" cy="3933407"/>
                    </a:xfrm>
                    <a:prstGeom prst="rect">
                      <a:avLst/>
                    </a:prstGeom>
                    <a:ln>
                      <a:noFill/>
                    </a:ln>
                    <a:extLst>
                      <a:ext uri="{53640926-AAD7-44D8-BBD7-CCE9431645EC}">
                        <a14:shadowObscured xmlns:a14="http://schemas.microsoft.com/office/drawing/2010/main"/>
                      </a:ext>
                    </a:extLst>
                  </pic:spPr>
                </pic:pic>
              </a:graphicData>
            </a:graphic>
          </wp:inline>
        </w:drawing>
      </w:r>
    </w:p>
    <w:p w:rsidR="00893776" w:rsidRDefault="00893776" w:rsidP="0089377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Figura 1: Zona de Estudio del Proyecto</w:t>
      </w:r>
    </w:p>
    <w:p w:rsidR="00683B61" w:rsidRDefault="00683B61">
      <w:pPr>
        <w:pBdr>
          <w:top w:val="nil"/>
          <w:left w:val="nil"/>
          <w:bottom w:val="nil"/>
          <w:right w:val="nil"/>
          <w:between w:val="nil"/>
        </w:pBdr>
        <w:jc w:val="both"/>
        <w:rPr>
          <w:rFonts w:ascii="Arial" w:eastAsia="Arial" w:hAnsi="Arial" w:cs="Arial"/>
          <w:color w:val="000000"/>
          <w:sz w:val="22"/>
          <w:szCs w:val="22"/>
        </w:rPr>
      </w:pPr>
    </w:p>
    <w:p w:rsidR="00683B61" w:rsidRDefault="00893776">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METODOLOGÍA</w:t>
      </w:r>
    </w:p>
    <w:p w:rsidR="00683B61" w:rsidRDefault="00683B61">
      <w:pPr>
        <w:pBdr>
          <w:top w:val="nil"/>
          <w:left w:val="nil"/>
          <w:bottom w:val="nil"/>
          <w:right w:val="nil"/>
          <w:between w:val="nil"/>
        </w:pBdr>
        <w:jc w:val="both"/>
        <w:rPr>
          <w:rFonts w:ascii="Arial" w:eastAsia="Arial" w:hAnsi="Arial" w:cs="Arial"/>
          <w:color w:val="000000"/>
          <w:sz w:val="22"/>
          <w:szCs w:val="22"/>
        </w:rPr>
      </w:pPr>
    </w:p>
    <w:p w:rsidR="00893776" w:rsidRDefault="00893776" w:rsidP="00893776">
      <w:pPr>
        <w:pBdr>
          <w:top w:val="nil"/>
          <w:left w:val="nil"/>
          <w:bottom w:val="nil"/>
          <w:right w:val="nil"/>
          <w:between w:val="nil"/>
        </w:pBdr>
        <w:jc w:val="both"/>
        <w:rPr>
          <w:rFonts w:ascii="Arial" w:eastAsia="Arial" w:hAnsi="Arial" w:cs="Arial"/>
          <w:color w:val="000000"/>
          <w:sz w:val="22"/>
          <w:szCs w:val="22"/>
        </w:rPr>
      </w:pPr>
      <w:r w:rsidRPr="00893776">
        <w:rPr>
          <w:rFonts w:ascii="Arial" w:eastAsia="Arial" w:hAnsi="Arial" w:cs="Arial"/>
          <w:color w:val="000000"/>
          <w:sz w:val="22"/>
          <w:szCs w:val="22"/>
        </w:rPr>
        <w:t>El método de investigación fue de carácter deductivo-inductivo y comparó datos disponibles de los aspectos descriptivos y explicativos de la zona de estudio propuesta</w:t>
      </w:r>
      <w:bookmarkStart w:id="1" w:name="_Toc27487901"/>
      <w:bookmarkStart w:id="2" w:name="_Toc27619360"/>
      <w:bookmarkStart w:id="3" w:name="_Toc27645411"/>
      <w:bookmarkStart w:id="4" w:name="_Toc28012819"/>
      <w:bookmarkStart w:id="5" w:name="_Toc28162741"/>
      <w:bookmarkStart w:id="6" w:name="_Toc28187469"/>
      <w:bookmarkStart w:id="7" w:name="_Toc28189601"/>
      <w:bookmarkStart w:id="8" w:name="_Toc28189664"/>
      <w:bookmarkStart w:id="9" w:name="_Toc28336618"/>
      <w:bookmarkStart w:id="10" w:name="_Toc28337558"/>
      <w:bookmarkStart w:id="11" w:name="_Toc37240908"/>
      <w:bookmarkStart w:id="12" w:name="_Toc37241389"/>
      <w:bookmarkStart w:id="13" w:name="_Toc37265920"/>
      <w:bookmarkStart w:id="14" w:name="_Toc37358857"/>
      <w:bookmarkStart w:id="15" w:name="_Toc37363012"/>
      <w:bookmarkStart w:id="16" w:name="_Toc27487902"/>
      <w:bookmarkStart w:id="17" w:name="_Toc27619361"/>
      <w:bookmarkStart w:id="18" w:name="_Toc27645412"/>
      <w:bookmarkStart w:id="19" w:name="_Toc28012820"/>
      <w:bookmarkStart w:id="20" w:name="_Toc28162742"/>
      <w:bookmarkStart w:id="21" w:name="_Toc28187470"/>
      <w:bookmarkStart w:id="22" w:name="_Toc28189602"/>
      <w:bookmarkStart w:id="23" w:name="_Toc28189665"/>
      <w:bookmarkStart w:id="24" w:name="_Toc28336619"/>
      <w:bookmarkStart w:id="25" w:name="_Toc28337559"/>
      <w:bookmarkStart w:id="26" w:name="_Toc37240909"/>
      <w:bookmarkStart w:id="27" w:name="_Toc37241390"/>
      <w:bookmarkStart w:id="28" w:name="_Toc37265921"/>
      <w:bookmarkStart w:id="29" w:name="_Toc37358858"/>
      <w:bookmarkStart w:id="30" w:name="_Toc3736301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93776">
        <w:rPr>
          <w:rFonts w:ascii="Arial" w:eastAsia="Arial" w:hAnsi="Arial" w:cs="Arial"/>
          <w:color w:val="000000"/>
          <w:sz w:val="22"/>
          <w:szCs w:val="22"/>
        </w:rPr>
        <w:t xml:space="preserve">. El tipo de Investigación fue descriptiva apoyándose en documentos, información cartográfica, junto a técnicas de teledetección y procesamiento de imágenes satelitales. El diseño metodológico constó de tres fases puntuales: 1) Investigación bibliográfica, 2) Recolección y procesamiento de imágenes satelitales obtenidas de los sensores: </w:t>
      </w:r>
      <w:proofErr w:type="spellStart"/>
      <w:r w:rsidRPr="00893776">
        <w:rPr>
          <w:rFonts w:ascii="Arial" w:eastAsia="Arial" w:hAnsi="Arial" w:cs="Arial"/>
          <w:color w:val="000000"/>
          <w:sz w:val="22"/>
          <w:szCs w:val="22"/>
        </w:rPr>
        <w:t>Landsat</w:t>
      </w:r>
      <w:proofErr w:type="spellEnd"/>
      <w:r w:rsidRPr="00893776">
        <w:rPr>
          <w:rFonts w:ascii="Arial" w:eastAsia="Arial" w:hAnsi="Arial" w:cs="Arial"/>
          <w:color w:val="000000"/>
          <w:sz w:val="22"/>
          <w:szCs w:val="22"/>
        </w:rPr>
        <w:t xml:space="preserve"> 4-5 </w:t>
      </w:r>
      <w:proofErr w:type="spellStart"/>
      <w:r w:rsidRPr="00893776">
        <w:rPr>
          <w:rFonts w:ascii="Arial" w:eastAsia="Arial" w:hAnsi="Arial" w:cs="Arial"/>
          <w:color w:val="000000"/>
          <w:sz w:val="22"/>
          <w:szCs w:val="22"/>
        </w:rPr>
        <w:t>Thematic</w:t>
      </w:r>
      <w:proofErr w:type="spellEnd"/>
      <w:r w:rsidRPr="00893776">
        <w:rPr>
          <w:rFonts w:ascii="Arial" w:eastAsia="Arial" w:hAnsi="Arial" w:cs="Arial"/>
          <w:color w:val="000000"/>
          <w:sz w:val="22"/>
          <w:szCs w:val="22"/>
        </w:rPr>
        <w:t xml:space="preserve"> </w:t>
      </w:r>
      <w:proofErr w:type="spellStart"/>
      <w:r w:rsidRPr="00893776">
        <w:rPr>
          <w:rFonts w:ascii="Arial" w:eastAsia="Arial" w:hAnsi="Arial" w:cs="Arial"/>
          <w:color w:val="000000"/>
          <w:sz w:val="22"/>
          <w:szCs w:val="22"/>
        </w:rPr>
        <w:t>Mapper</w:t>
      </w:r>
      <w:proofErr w:type="spellEnd"/>
      <w:r w:rsidRPr="00893776">
        <w:rPr>
          <w:rFonts w:ascii="Arial" w:eastAsia="Arial" w:hAnsi="Arial" w:cs="Arial"/>
          <w:color w:val="000000"/>
          <w:sz w:val="22"/>
          <w:szCs w:val="22"/>
        </w:rPr>
        <w:t xml:space="preserve"> (TM) y </w:t>
      </w:r>
      <w:proofErr w:type="spellStart"/>
      <w:r w:rsidRPr="00893776">
        <w:rPr>
          <w:rFonts w:ascii="Arial" w:eastAsia="Arial" w:hAnsi="Arial" w:cs="Arial"/>
          <w:color w:val="000000"/>
          <w:sz w:val="22"/>
          <w:szCs w:val="22"/>
        </w:rPr>
        <w:t>Landsat</w:t>
      </w:r>
      <w:proofErr w:type="spellEnd"/>
      <w:r w:rsidRPr="00893776">
        <w:rPr>
          <w:rFonts w:ascii="Arial" w:eastAsia="Arial" w:hAnsi="Arial" w:cs="Arial"/>
          <w:color w:val="000000"/>
          <w:sz w:val="22"/>
          <w:szCs w:val="22"/>
        </w:rPr>
        <w:t xml:space="preserve"> 7 </w:t>
      </w:r>
      <w:proofErr w:type="spellStart"/>
      <w:r w:rsidRPr="00893776">
        <w:rPr>
          <w:rFonts w:ascii="Arial" w:eastAsia="Arial" w:hAnsi="Arial" w:cs="Arial"/>
          <w:color w:val="000000"/>
          <w:sz w:val="22"/>
          <w:szCs w:val="22"/>
        </w:rPr>
        <w:t>Enhanced</w:t>
      </w:r>
      <w:proofErr w:type="spellEnd"/>
      <w:r w:rsidRPr="00893776">
        <w:rPr>
          <w:rFonts w:ascii="Arial" w:eastAsia="Arial" w:hAnsi="Arial" w:cs="Arial"/>
          <w:color w:val="000000"/>
          <w:sz w:val="22"/>
          <w:szCs w:val="22"/>
        </w:rPr>
        <w:t xml:space="preserve"> </w:t>
      </w:r>
      <w:proofErr w:type="spellStart"/>
      <w:r w:rsidRPr="00893776">
        <w:rPr>
          <w:rFonts w:ascii="Arial" w:eastAsia="Arial" w:hAnsi="Arial" w:cs="Arial"/>
          <w:color w:val="000000"/>
          <w:sz w:val="22"/>
          <w:szCs w:val="22"/>
        </w:rPr>
        <w:t>Thematic</w:t>
      </w:r>
      <w:proofErr w:type="spellEnd"/>
      <w:r w:rsidRPr="00893776">
        <w:rPr>
          <w:rFonts w:ascii="Arial" w:eastAsia="Arial" w:hAnsi="Arial" w:cs="Arial"/>
          <w:color w:val="000000"/>
          <w:sz w:val="22"/>
          <w:szCs w:val="22"/>
        </w:rPr>
        <w:t xml:space="preserve"> </w:t>
      </w:r>
      <w:proofErr w:type="spellStart"/>
      <w:r w:rsidRPr="00893776">
        <w:rPr>
          <w:rFonts w:ascii="Arial" w:eastAsia="Arial" w:hAnsi="Arial" w:cs="Arial"/>
          <w:color w:val="000000"/>
          <w:sz w:val="22"/>
          <w:szCs w:val="22"/>
        </w:rPr>
        <w:t>Mapper</w:t>
      </w:r>
      <w:proofErr w:type="spellEnd"/>
      <w:r w:rsidRPr="00893776">
        <w:rPr>
          <w:rFonts w:ascii="Arial" w:eastAsia="Arial" w:hAnsi="Arial" w:cs="Arial"/>
          <w:color w:val="000000"/>
          <w:sz w:val="22"/>
          <w:szCs w:val="22"/>
        </w:rPr>
        <w:t xml:space="preserve"> Plus (ETM+), y 3) Creación de escenarios de prospección en base a un diagnóstico integrado y matrices de valoración.</w:t>
      </w:r>
    </w:p>
    <w:p w:rsidR="00893776" w:rsidRPr="00893776" w:rsidRDefault="00893776" w:rsidP="00893776">
      <w:pPr>
        <w:pBdr>
          <w:top w:val="nil"/>
          <w:left w:val="nil"/>
          <w:bottom w:val="nil"/>
          <w:right w:val="nil"/>
          <w:between w:val="nil"/>
        </w:pBdr>
        <w:jc w:val="both"/>
        <w:rPr>
          <w:rFonts w:ascii="Arial" w:eastAsia="Arial" w:hAnsi="Arial" w:cs="Arial"/>
          <w:color w:val="000000"/>
          <w:sz w:val="22"/>
          <w:szCs w:val="22"/>
        </w:rPr>
      </w:pPr>
    </w:p>
    <w:p w:rsidR="00893776" w:rsidRDefault="00893776" w:rsidP="00893776">
      <w:pPr>
        <w:pBdr>
          <w:top w:val="nil"/>
          <w:left w:val="nil"/>
          <w:bottom w:val="nil"/>
          <w:right w:val="nil"/>
          <w:between w:val="nil"/>
        </w:pBdr>
        <w:jc w:val="both"/>
        <w:rPr>
          <w:rFonts w:ascii="Arial" w:eastAsia="Arial" w:hAnsi="Arial" w:cs="Arial"/>
          <w:color w:val="000000"/>
          <w:sz w:val="22"/>
          <w:szCs w:val="22"/>
        </w:rPr>
      </w:pPr>
      <w:r w:rsidRPr="00893776">
        <w:rPr>
          <w:rFonts w:ascii="Arial" w:eastAsia="Arial" w:hAnsi="Arial" w:cs="Arial"/>
          <w:color w:val="000000"/>
          <w:sz w:val="22"/>
          <w:szCs w:val="22"/>
        </w:rPr>
        <w:t xml:space="preserve">La información geomorfológica del territorio permitió el desarrolló del diagnóstico inicial y el mapa base actual de usos del suelo siguiendo el protocolo metodológico de MAE y MAGAP, (2015) y las categorías de uso de suelo recomendadas por el mismo (bosque, tierra agropecuaria, vegetación arbustiva y herbácea, cuerpos de agua, </w:t>
      </w:r>
      <w:proofErr w:type="spellStart"/>
      <w:r w:rsidRPr="00893776">
        <w:rPr>
          <w:rFonts w:ascii="Arial" w:eastAsia="Arial" w:hAnsi="Arial" w:cs="Arial"/>
          <w:color w:val="000000"/>
          <w:sz w:val="22"/>
          <w:szCs w:val="22"/>
        </w:rPr>
        <w:t>acuicola</w:t>
      </w:r>
      <w:proofErr w:type="spellEnd"/>
      <w:r w:rsidRPr="00893776">
        <w:rPr>
          <w:rFonts w:ascii="Arial" w:eastAsia="Arial" w:hAnsi="Arial" w:cs="Arial"/>
          <w:color w:val="000000"/>
          <w:sz w:val="22"/>
          <w:szCs w:val="22"/>
        </w:rPr>
        <w:t xml:space="preserve">, zonas antrópicas y otras tierras). Luego, mediante un análisis </w:t>
      </w:r>
      <w:r w:rsidRPr="00893776">
        <w:rPr>
          <w:rFonts w:ascii="Arial" w:eastAsia="Arial" w:hAnsi="Arial" w:cs="Arial"/>
          <w:color w:val="000000"/>
          <w:sz w:val="22"/>
          <w:szCs w:val="22"/>
        </w:rPr>
        <w:lastRenderedPageBreak/>
        <w:t>comparativo, siguiendo a Moreno et al 2017, se seleccionó bibliografía que involucre o influya sobre el área de estudio; como notas de prensa, proyectos estratégicos o planes de ordenamiento territorial de donde se extrajo los factores que puedan determinar el uso del suelo y aquellos que puedan generar problemas económicos, sociales o ambientales en el área de influencia del aeropuerto.</w:t>
      </w:r>
    </w:p>
    <w:p w:rsidR="00893776" w:rsidRPr="00893776" w:rsidRDefault="00893776" w:rsidP="00893776">
      <w:pPr>
        <w:pBdr>
          <w:top w:val="nil"/>
          <w:left w:val="nil"/>
          <w:bottom w:val="nil"/>
          <w:right w:val="nil"/>
          <w:between w:val="nil"/>
        </w:pBdr>
        <w:jc w:val="both"/>
        <w:rPr>
          <w:rFonts w:ascii="Arial" w:eastAsia="Arial" w:hAnsi="Arial" w:cs="Arial"/>
          <w:color w:val="000000"/>
          <w:sz w:val="22"/>
          <w:szCs w:val="22"/>
        </w:rPr>
      </w:pPr>
    </w:p>
    <w:p w:rsidR="00893776" w:rsidRDefault="00893776" w:rsidP="00893776">
      <w:pPr>
        <w:pBdr>
          <w:top w:val="nil"/>
          <w:left w:val="nil"/>
          <w:bottom w:val="nil"/>
          <w:right w:val="nil"/>
          <w:between w:val="nil"/>
        </w:pBdr>
        <w:jc w:val="both"/>
        <w:rPr>
          <w:rFonts w:ascii="Arial" w:eastAsia="Arial" w:hAnsi="Arial" w:cs="Arial"/>
          <w:color w:val="000000"/>
          <w:sz w:val="22"/>
          <w:szCs w:val="22"/>
        </w:rPr>
      </w:pPr>
      <w:r w:rsidRPr="00893776">
        <w:rPr>
          <w:rFonts w:ascii="Arial" w:eastAsia="Arial" w:hAnsi="Arial" w:cs="Arial"/>
          <w:color w:val="000000"/>
          <w:sz w:val="22"/>
          <w:szCs w:val="22"/>
        </w:rPr>
        <w:t xml:space="preserve"> La segunda fase adaptó la metodología de tratamiento de imágenes satelitales de Rosales (2013) y Pinos (2016) mediante la técnica de clasificación no supervisada para definir los cambios que ha experimentado el suelo entre 1998 a 2018. Los mapas resultantes se realizaron mediante superposición cartográfica sobre el mapa base y análisis </w:t>
      </w:r>
      <w:proofErr w:type="spellStart"/>
      <w:r w:rsidRPr="00893776">
        <w:rPr>
          <w:rFonts w:ascii="Arial" w:eastAsia="Arial" w:hAnsi="Arial" w:cs="Arial"/>
          <w:color w:val="000000"/>
          <w:sz w:val="22"/>
          <w:szCs w:val="22"/>
        </w:rPr>
        <w:t>multitemporal</w:t>
      </w:r>
      <w:proofErr w:type="spellEnd"/>
      <w:r w:rsidRPr="00893776">
        <w:rPr>
          <w:rFonts w:ascii="Arial" w:eastAsia="Arial" w:hAnsi="Arial" w:cs="Arial"/>
          <w:color w:val="000000"/>
          <w:sz w:val="22"/>
          <w:szCs w:val="22"/>
        </w:rPr>
        <w:t xml:space="preserve"> que incluye matrices de transición, permitiendo obtener tasas de variación porcentual. </w:t>
      </w:r>
    </w:p>
    <w:p w:rsidR="00893776" w:rsidRPr="00893776" w:rsidRDefault="00893776" w:rsidP="00893776">
      <w:pPr>
        <w:pBdr>
          <w:top w:val="nil"/>
          <w:left w:val="nil"/>
          <w:bottom w:val="nil"/>
          <w:right w:val="nil"/>
          <w:between w:val="nil"/>
        </w:pBdr>
        <w:jc w:val="both"/>
        <w:rPr>
          <w:rFonts w:ascii="Arial" w:eastAsia="Arial" w:hAnsi="Arial" w:cs="Arial"/>
          <w:color w:val="000000"/>
          <w:sz w:val="22"/>
          <w:szCs w:val="22"/>
        </w:rPr>
      </w:pPr>
    </w:p>
    <w:p w:rsidR="00893776" w:rsidRDefault="00893776" w:rsidP="00893776">
      <w:pPr>
        <w:pBdr>
          <w:top w:val="nil"/>
          <w:left w:val="nil"/>
          <w:bottom w:val="nil"/>
          <w:right w:val="nil"/>
          <w:between w:val="nil"/>
        </w:pBdr>
        <w:jc w:val="both"/>
        <w:rPr>
          <w:rFonts w:ascii="Arial" w:eastAsia="Arial" w:hAnsi="Arial" w:cs="Arial"/>
          <w:color w:val="000000"/>
          <w:sz w:val="22"/>
          <w:szCs w:val="22"/>
        </w:rPr>
      </w:pPr>
      <w:r w:rsidRPr="00893776">
        <w:rPr>
          <w:rFonts w:ascii="Arial" w:eastAsia="Arial" w:hAnsi="Arial" w:cs="Arial"/>
          <w:color w:val="000000"/>
          <w:sz w:val="22"/>
          <w:szCs w:val="22"/>
        </w:rPr>
        <w:t>La tercera fase utilizó el diagnóstico integrado propuesto por Gómez Orea 2008 que recopila tanto los factores determinantes para crear escenarios conservadores, como las tasas de variación para construir escenarios tendenciales en lapsos de 5 años hasta el 2050. Esta técnica utilizó una matriz comparativa entre las categorías de usos de suelo y las variables que pueden afectar el territorio, en donde la información se valora de forma cualitativa y a criterio del observador en el rango de (-1, 0 y +1), siendo el número negativo indicador de disminución, el número neutro indicador de no existencia de cambios y el número positivo como indicador de aumento de uso en una determinada categoría.</w:t>
      </w:r>
    </w:p>
    <w:p w:rsidR="00893776" w:rsidRPr="00893776" w:rsidRDefault="00893776" w:rsidP="00893776">
      <w:pPr>
        <w:pBdr>
          <w:top w:val="nil"/>
          <w:left w:val="nil"/>
          <w:bottom w:val="nil"/>
          <w:right w:val="nil"/>
          <w:between w:val="nil"/>
        </w:pBdr>
        <w:jc w:val="both"/>
        <w:rPr>
          <w:rFonts w:ascii="Arial" w:eastAsia="Arial" w:hAnsi="Arial" w:cs="Arial"/>
          <w:color w:val="000000"/>
          <w:sz w:val="22"/>
          <w:szCs w:val="22"/>
        </w:rPr>
      </w:pPr>
    </w:p>
    <w:p w:rsidR="00683B61" w:rsidRDefault="00893776">
      <w:pPr>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sz w:val="22"/>
          <w:szCs w:val="22"/>
        </w:rPr>
        <w:t>RESULTADOS</w:t>
      </w:r>
    </w:p>
    <w:p w:rsidR="00683B61" w:rsidRDefault="00683B61">
      <w:pPr>
        <w:pBdr>
          <w:top w:val="nil"/>
          <w:left w:val="nil"/>
          <w:bottom w:val="nil"/>
          <w:right w:val="nil"/>
          <w:between w:val="nil"/>
        </w:pBdr>
        <w:jc w:val="both"/>
        <w:rPr>
          <w:rFonts w:ascii="Arial" w:eastAsia="Arial" w:hAnsi="Arial" w:cs="Arial"/>
          <w:color w:val="000000"/>
          <w:sz w:val="22"/>
          <w:szCs w:val="22"/>
        </w:rPr>
      </w:pPr>
    </w:p>
    <w:p w:rsidR="00893776" w:rsidRPr="00893776" w:rsidRDefault="00893776" w:rsidP="00893776">
      <w:pPr>
        <w:jc w:val="both"/>
        <w:rPr>
          <w:rFonts w:ascii="Arial" w:eastAsia="Arial" w:hAnsi="Arial" w:cs="Arial"/>
          <w:color w:val="000000"/>
          <w:sz w:val="22"/>
          <w:szCs w:val="22"/>
        </w:rPr>
      </w:pPr>
      <w:r w:rsidRPr="00893776">
        <w:rPr>
          <w:rFonts w:ascii="Arial" w:eastAsia="Arial" w:hAnsi="Arial" w:cs="Arial"/>
          <w:color w:val="000000"/>
          <w:sz w:val="22"/>
          <w:szCs w:val="22"/>
        </w:rPr>
        <w:t xml:space="preserve">El diagnóstico inicial muestra que a pesar de que la zona destinada al aeropuerto no se encuentra poblada, es ambientalmente sensible debido a su cercanía con reservas naturales. Por otro lado, el principal sistema productivo y motor de la economía está conformado por la actividad acuícola y ganadera. Los factores determinantes seleccionados responden a la disponibilidad de tierras habitables que se relaciona principalmente con normativas de uso del suelo en cercanías a aeropuertos. A la presencia de áreas protegidas que considera interferencias e impactos ambientales. A la presencia de áreas productivas que contempla limitantes de expansión y accesos viales para comercio de productos y llegada de pasajeros. A la Infraestructura y servicios básicos existentes que se enfocarían en el abastecimiento de la densidad de pasajeros y población flotante. Al empleo y cambio de actividad económica que se apunta al uso del suelo; y finalmente, a la expansión urbana que contempla la creación de urbes totalmente nuevas como el proyecto “primera ciudad aeroportuaria”. </w:t>
      </w:r>
    </w:p>
    <w:p w:rsidR="00893776" w:rsidRDefault="00893776" w:rsidP="00893776">
      <w:pPr>
        <w:ind w:right="50"/>
        <w:jc w:val="center"/>
        <w:rPr>
          <w:rFonts w:ascii="Arial" w:hAnsi="Arial" w:cs="Arial"/>
        </w:rPr>
      </w:pPr>
    </w:p>
    <w:p w:rsidR="00954F42" w:rsidRDefault="00893776" w:rsidP="00893776">
      <w:pPr>
        <w:ind w:right="50"/>
        <w:jc w:val="both"/>
        <w:rPr>
          <w:rFonts w:ascii="Arial" w:hAnsi="Arial" w:cs="Arial"/>
          <w:noProof/>
        </w:rPr>
      </w:pPr>
      <w:r w:rsidRPr="00893776">
        <w:rPr>
          <w:rFonts w:ascii="Arial" w:eastAsia="Arial" w:hAnsi="Arial" w:cs="Arial"/>
          <w:color w:val="000000"/>
          <w:sz w:val="22"/>
          <w:szCs w:val="22"/>
        </w:rPr>
        <w:t xml:space="preserve">El análisis </w:t>
      </w:r>
      <w:proofErr w:type="spellStart"/>
      <w:r w:rsidRPr="00893776">
        <w:rPr>
          <w:rFonts w:ascii="Arial" w:eastAsia="Arial" w:hAnsi="Arial" w:cs="Arial"/>
          <w:color w:val="000000"/>
          <w:sz w:val="22"/>
          <w:szCs w:val="22"/>
        </w:rPr>
        <w:t>multitemporal</w:t>
      </w:r>
      <w:proofErr w:type="spellEnd"/>
      <w:r w:rsidRPr="00893776">
        <w:rPr>
          <w:rFonts w:ascii="Arial" w:eastAsia="Arial" w:hAnsi="Arial" w:cs="Arial"/>
          <w:color w:val="000000"/>
          <w:sz w:val="22"/>
          <w:szCs w:val="22"/>
        </w:rPr>
        <w:t xml:space="preserve"> desde el año 1998 al 2018, revela que no se observan eventos abruptos. La fracción correspondiente a bosques es la cobertura más extendida y se ha mantenido constante en el tiempo a diferencia de la zona </w:t>
      </w:r>
      <w:r w:rsidRPr="00893776">
        <w:rPr>
          <w:rFonts w:ascii="Arial" w:eastAsia="Arial" w:hAnsi="Arial" w:cs="Arial"/>
          <w:color w:val="000000"/>
          <w:sz w:val="22"/>
          <w:szCs w:val="22"/>
        </w:rPr>
        <w:lastRenderedPageBreak/>
        <w:t xml:space="preserve">antrópica que ha experimentado un crecimiento exponencial. Se destacan también los sectores acuícolas, cuerpo de agua y tierras agropecuarias como usos relativamente estables en el tiempo. Por otro lado, la vegetación arbustiva y herbácea se reduce en casi un 50% al igual que otras tierras, en casi un 80% para el último año de análisis, lo cual podría sugerir que han sido utilizadas para </w:t>
      </w:r>
      <w:r w:rsidR="00954F42" w:rsidRPr="007C7E62">
        <w:rPr>
          <w:rFonts w:ascii="Arial" w:hAnsi="Arial" w:cs="Arial"/>
          <w:noProof/>
          <w:lang w:val="es-EC"/>
        </w:rPr>
        <w:drawing>
          <wp:anchor distT="0" distB="0" distL="114300" distR="114300" simplePos="0" relativeHeight="251661312" behindDoc="1" locked="0" layoutInCell="1" allowOverlap="1">
            <wp:simplePos x="0" y="0"/>
            <wp:positionH relativeFrom="margin">
              <wp:align>left</wp:align>
            </wp:positionH>
            <wp:positionV relativeFrom="paragraph">
              <wp:posOffset>1076325</wp:posOffset>
            </wp:positionV>
            <wp:extent cx="5181600" cy="3200400"/>
            <wp:effectExtent l="0" t="0" r="0" b="0"/>
            <wp:wrapNone/>
            <wp:docPr id="14" name="Gráfico 1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43CB3A-B16D-4047-B527-D19FAB3AF8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93776">
        <w:rPr>
          <w:rFonts w:ascii="Arial" w:eastAsia="Arial" w:hAnsi="Arial" w:cs="Arial"/>
          <w:color w:val="000000"/>
          <w:sz w:val="22"/>
          <w:szCs w:val="22"/>
        </w:rPr>
        <w:t>actividades económicas y o de asentamientos humanos (Figura 2).</w:t>
      </w:r>
      <w:r w:rsidRPr="00893776">
        <w:rPr>
          <w:rFonts w:ascii="Arial" w:hAnsi="Arial" w:cs="Arial"/>
          <w:noProof/>
        </w:rPr>
        <w:t xml:space="preserve"> </w:t>
      </w: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893776">
      <w:pPr>
        <w:ind w:right="50"/>
        <w:jc w:val="both"/>
        <w:rPr>
          <w:rFonts w:ascii="Arial" w:hAnsi="Arial" w:cs="Arial"/>
          <w:noProof/>
        </w:rPr>
      </w:pPr>
    </w:p>
    <w:p w:rsidR="00954F42" w:rsidRDefault="00954F42" w:rsidP="00954F42">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Figura 2: Porcentajes de Variación de usos de suelo entre 1998 y 2018</w:t>
      </w:r>
    </w:p>
    <w:p w:rsidR="00893776" w:rsidRPr="007C7E62" w:rsidRDefault="00893776" w:rsidP="00893776">
      <w:pPr>
        <w:ind w:right="50"/>
        <w:jc w:val="both"/>
        <w:rPr>
          <w:rFonts w:ascii="Arial" w:hAnsi="Arial" w:cs="Arial"/>
        </w:rPr>
      </w:pPr>
    </w:p>
    <w:p w:rsidR="00954F42" w:rsidRDefault="00893776" w:rsidP="00893776">
      <w:pPr>
        <w:jc w:val="both"/>
        <w:rPr>
          <w:rFonts w:ascii="Arial" w:eastAsia="Arial" w:hAnsi="Arial" w:cs="Arial"/>
          <w:color w:val="000000"/>
          <w:sz w:val="22"/>
          <w:szCs w:val="22"/>
        </w:rPr>
      </w:pPr>
      <w:r w:rsidRPr="00954F42">
        <w:rPr>
          <w:rFonts w:ascii="Arial" w:eastAsia="Arial" w:hAnsi="Arial" w:cs="Arial"/>
          <w:color w:val="000000"/>
          <w:sz w:val="22"/>
          <w:szCs w:val="22"/>
        </w:rPr>
        <w:t xml:space="preserve">El resultado final, plantea una prospección con dos escenarios. El tendencial </w:t>
      </w:r>
      <w:r w:rsidR="00954F42">
        <w:rPr>
          <w:rFonts w:ascii="Arial" w:eastAsia="Arial" w:hAnsi="Arial" w:cs="Arial"/>
          <w:color w:val="000000"/>
          <w:sz w:val="22"/>
          <w:szCs w:val="22"/>
        </w:rPr>
        <w:t>(Figura 3</w:t>
      </w:r>
      <w:r w:rsidR="00954F42" w:rsidRPr="00893776">
        <w:rPr>
          <w:rFonts w:ascii="Arial" w:eastAsia="Arial" w:hAnsi="Arial" w:cs="Arial"/>
          <w:color w:val="000000"/>
          <w:sz w:val="22"/>
          <w:szCs w:val="22"/>
        </w:rPr>
        <w:t>)</w:t>
      </w:r>
      <w:r w:rsidR="00954F42" w:rsidRPr="00893776">
        <w:rPr>
          <w:rFonts w:ascii="Arial" w:hAnsi="Arial" w:cs="Arial"/>
          <w:noProof/>
        </w:rPr>
        <w:t xml:space="preserve"> </w:t>
      </w:r>
      <w:r w:rsidRPr="00954F42">
        <w:rPr>
          <w:rFonts w:ascii="Arial" w:eastAsia="Arial" w:hAnsi="Arial" w:cs="Arial"/>
          <w:color w:val="000000"/>
          <w:sz w:val="22"/>
          <w:szCs w:val="22"/>
        </w:rPr>
        <w:t xml:space="preserve">considera crecimiento paulatino de la zona antrópica junto a acuícolas debido a la generación de empleo asociado a estas, provocando disminución de bosque, cuerpos de agua y tierras agropecuarias. Los usos de vegetación arbustiva y herbácea y otras tierras son posiblemente reemplazados por infraestructuras y conectividad física demandada por la población en crecimiento. Se espera no experimentar altos índices relacionados con problemáticas sociales, aunque también se supone ausencia de impacto positivo proveniente del turismo, mejora de servicios, salud y educación. </w:t>
      </w:r>
    </w:p>
    <w:p w:rsidR="00954F42" w:rsidRDefault="00954F42" w:rsidP="00893776">
      <w:pPr>
        <w:jc w:val="both"/>
        <w:rPr>
          <w:rFonts w:ascii="Arial" w:eastAsia="Arial" w:hAnsi="Arial" w:cs="Arial"/>
          <w:color w:val="000000"/>
          <w:sz w:val="22"/>
          <w:szCs w:val="22"/>
        </w:rPr>
      </w:pPr>
    </w:p>
    <w:p w:rsidR="00893776" w:rsidRDefault="00893776" w:rsidP="00893776">
      <w:pPr>
        <w:jc w:val="both"/>
        <w:rPr>
          <w:rFonts w:ascii="Arial" w:eastAsia="Arial" w:hAnsi="Arial" w:cs="Arial"/>
          <w:color w:val="000000"/>
          <w:sz w:val="22"/>
          <w:szCs w:val="22"/>
        </w:rPr>
      </w:pPr>
      <w:r w:rsidRPr="00954F42">
        <w:rPr>
          <w:rFonts w:ascii="Arial" w:eastAsia="Arial" w:hAnsi="Arial" w:cs="Arial"/>
          <w:color w:val="000000"/>
          <w:sz w:val="22"/>
          <w:szCs w:val="22"/>
        </w:rPr>
        <w:t xml:space="preserve">Mientras que el conservacionista </w:t>
      </w:r>
      <w:r w:rsidR="00954F42">
        <w:rPr>
          <w:rFonts w:ascii="Arial" w:eastAsia="Arial" w:hAnsi="Arial" w:cs="Arial"/>
          <w:color w:val="000000"/>
          <w:sz w:val="22"/>
          <w:szCs w:val="22"/>
        </w:rPr>
        <w:t>(Figura 4</w:t>
      </w:r>
      <w:r w:rsidR="00954F42" w:rsidRPr="00893776">
        <w:rPr>
          <w:rFonts w:ascii="Arial" w:eastAsia="Arial" w:hAnsi="Arial" w:cs="Arial"/>
          <w:color w:val="000000"/>
          <w:sz w:val="22"/>
          <w:szCs w:val="22"/>
        </w:rPr>
        <w:t>)</w:t>
      </w:r>
      <w:r w:rsidR="00954F42" w:rsidRPr="00893776">
        <w:rPr>
          <w:rFonts w:ascii="Arial" w:hAnsi="Arial" w:cs="Arial"/>
          <w:noProof/>
        </w:rPr>
        <w:t xml:space="preserve"> </w:t>
      </w:r>
      <w:r w:rsidRPr="00954F42">
        <w:rPr>
          <w:rFonts w:ascii="Arial" w:eastAsia="Arial" w:hAnsi="Arial" w:cs="Arial"/>
          <w:color w:val="000000"/>
          <w:sz w:val="22"/>
          <w:szCs w:val="22"/>
        </w:rPr>
        <w:t xml:space="preserve">muestra un cambio más dinámico en el uso del territorio, alcanzando picos importantes que aumentan en los usos destinados a zonas antrópicas, y disminuyen para la vegetación arbustiva y herbácea y otras tierras. Un aspecto importante son los efectos producidos por la posible mejora en la educación, servicios básicos y generación de empleos; lo cual contribuye positiva y directamente a mantener el equilibrio del territorio, frenando </w:t>
      </w:r>
      <w:r w:rsidRPr="00954F42">
        <w:rPr>
          <w:rFonts w:ascii="Arial" w:eastAsia="Arial" w:hAnsi="Arial" w:cs="Arial"/>
          <w:color w:val="000000"/>
          <w:sz w:val="22"/>
          <w:szCs w:val="22"/>
        </w:rPr>
        <w:lastRenderedPageBreak/>
        <w:t>la expansión de las fronteras agrícola y acuícola, así como previniendo la degradación excesiva de recursos naturales como bosques y cuerpos de agua.</w:t>
      </w:r>
    </w:p>
    <w:p w:rsidR="00DA37AD" w:rsidRDefault="00DA37AD" w:rsidP="00893776">
      <w:pPr>
        <w:jc w:val="both"/>
        <w:rPr>
          <w:rFonts w:ascii="Arial" w:eastAsia="Arial" w:hAnsi="Arial" w:cs="Arial"/>
          <w:color w:val="000000"/>
          <w:sz w:val="22"/>
          <w:szCs w:val="22"/>
        </w:rPr>
      </w:pPr>
    </w:p>
    <w:p w:rsidR="00DA37AD" w:rsidRDefault="00DA37AD" w:rsidP="00893776">
      <w:pPr>
        <w:jc w:val="both"/>
        <w:rPr>
          <w:rFonts w:ascii="Arial" w:eastAsia="Arial" w:hAnsi="Arial" w:cs="Arial"/>
          <w:color w:val="000000"/>
          <w:sz w:val="22"/>
          <w:szCs w:val="22"/>
        </w:rPr>
      </w:pPr>
      <w:r>
        <w:rPr>
          <w:noProof/>
          <w:lang w:val="es-EC"/>
        </w:rPr>
        <w:drawing>
          <wp:inline distT="0" distB="0" distL="0" distR="0" wp14:anchorId="78CC8B15" wp14:editId="5A009864">
            <wp:extent cx="5039360" cy="3019425"/>
            <wp:effectExtent l="0" t="0" r="8890" b="0"/>
            <wp:docPr id="21" name="Gráfico 2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0432DB-97A4-4D41-A354-FD0BD4D31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37AD" w:rsidRDefault="00DA37AD" w:rsidP="00DA37A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Figura 3: Escenario Tendencial</w:t>
      </w:r>
    </w:p>
    <w:p w:rsidR="00DA37AD" w:rsidRDefault="00DA37AD" w:rsidP="00893776">
      <w:pPr>
        <w:jc w:val="both"/>
        <w:rPr>
          <w:rFonts w:ascii="Arial" w:eastAsia="Arial" w:hAnsi="Arial" w:cs="Arial"/>
          <w:color w:val="000000"/>
          <w:sz w:val="22"/>
          <w:szCs w:val="22"/>
        </w:rPr>
      </w:pPr>
    </w:p>
    <w:p w:rsidR="00DA37AD" w:rsidRDefault="00DA37AD" w:rsidP="00893776">
      <w:pPr>
        <w:jc w:val="both"/>
        <w:rPr>
          <w:rFonts w:ascii="Arial" w:eastAsia="Arial" w:hAnsi="Arial" w:cs="Arial"/>
          <w:color w:val="000000"/>
          <w:sz w:val="22"/>
          <w:szCs w:val="22"/>
        </w:rPr>
      </w:pPr>
      <w:r>
        <w:rPr>
          <w:noProof/>
          <w:lang w:val="es-EC"/>
        </w:rPr>
        <w:drawing>
          <wp:inline distT="0" distB="0" distL="0" distR="0" wp14:anchorId="3B5043FE" wp14:editId="114D3C8C">
            <wp:extent cx="5039360" cy="3162300"/>
            <wp:effectExtent l="0" t="0" r="8890" b="0"/>
            <wp:docPr id="23" name="Gráfico 2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1C7A63-1864-4042-B53A-BE728FA63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37AD" w:rsidRDefault="00DA37AD" w:rsidP="00DA37AD">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Figura 3: Escenario Conservacionista</w:t>
      </w:r>
    </w:p>
    <w:p w:rsidR="00683B61" w:rsidRDefault="00954F42">
      <w:pPr>
        <w:widowControl w:val="0"/>
        <w:numPr>
          <w:ilvl w:val="0"/>
          <w:numId w:val="1"/>
        </w:numPr>
        <w:pBdr>
          <w:top w:val="nil"/>
          <w:left w:val="nil"/>
          <w:bottom w:val="nil"/>
          <w:right w:val="nil"/>
          <w:between w:val="nil"/>
        </w:pBdr>
        <w:tabs>
          <w:tab w:val="left" w:pos="180"/>
          <w:tab w:val="left" w:pos="360"/>
        </w:tabs>
        <w:ind w:left="0" w:firstLine="0"/>
        <w:jc w:val="both"/>
        <w:rPr>
          <w:rFonts w:ascii="Arial" w:eastAsia="Arial" w:hAnsi="Arial" w:cs="Arial"/>
          <w:color w:val="000000"/>
          <w:sz w:val="22"/>
          <w:szCs w:val="22"/>
        </w:rPr>
      </w:pPr>
      <w:r>
        <w:rPr>
          <w:rFonts w:ascii="Arial" w:eastAsia="Arial" w:hAnsi="Arial" w:cs="Arial"/>
          <w:b/>
          <w:color w:val="000000"/>
          <w:sz w:val="22"/>
          <w:szCs w:val="22"/>
        </w:rPr>
        <w:lastRenderedPageBreak/>
        <w:t>DISCUSIÓN Y CONCLUSIONES</w:t>
      </w:r>
    </w:p>
    <w:p w:rsidR="00683B61" w:rsidRDefault="00683B61">
      <w:pPr>
        <w:pBdr>
          <w:top w:val="nil"/>
          <w:left w:val="nil"/>
          <w:bottom w:val="nil"/>
          <w:right w:val="nil"/>
          <w:between w:val="nil"/>
        </w:pBdr>
        <w:jc w:val="both"/>
        <w:rPr>
          <w:rFonts w:ascii="Arial" w:eastAsia="Arial" w:hAnsi="Arial" w:cs="Arial"/>
          <w:color w:val="000000"/>
          <w:sz w:val="22"/>
          <w:szCs w:val="22"/>
        </w:rPr>
      </w:pPr>
    </w:p>
    <w:p w:rsidR="00954F42" w:rsidRDefault="00954F42" w:rsidP="00954F42">
      <w:pPr>
        <w:jc w:val="both"/>
        <w:rPr>
          <w:rFonts w:ascii="Arial" w:eastAsia="Arial" w:hAnsi="Arial" w:cs="Arial"/>
          <w:color w:val="000000"/>
          <w:sz w:val="22"/>
          <w:szCs w:val="22"/>
        </w:rPr>
      </w:pPr>
      <w:r w:rsidRPr="00954F42">
        <w:rPr>
          <w:rFonts w:ascii="Arial" w:eastAsia="Arial" w:hAnsi="Arial" w:cs="Arial"/>
          <w:color w:val="000000"/>
          <w:sz w:val="22"/>
          <w:szCs w:val="22"/>
        </w:rPr>
        <w:t xml:space="preserve">El diagnóstico inicial de la zona de estudio resalta el uso destinado a bosques y cuerpos de agua como una de las fortalezas del sector que representan un refugio de biodiversidad y prestación de servicios ambientales. Sin embargo, Cerezo et al., 2007 revela problemas de contaminación, por lo que a pesar de que el área en extensión permanecido constante, esto no es un indicador de calidad de la misma. </w:t>
      </w:r>
    </w:p>
    <w:p w:rsidR="00954F42" w:rsidRPr="00954F42" w:rsidRDefault="00954F42" w:rsidP="00954F42">
      <w:pPr>
        <w:jc w:val="both"/>
        <w:rPr>
          <w:rFonts w:ascii="Arial" w:eastAsia="Arial" w:hAnsi="Arial" w:cs="Arial"/>
          <w:color w:val="000000"/>
          <w:sz w:val="22"/>
          <w:szCs w:val="22"/>
        </w:rPr>
      </w:pPr>
    </w:p>
    <w:p w:rsidR="00954F42" w:rsidRDefault="00954F42" w:rsidP="00954F42">
      <w:pPr>
        <w:jc w:val="both"/>
        <w:rPr>
          <w:rFonts w:ascii="Arial" w:eastAsia="Arial" w:hAnsi="Arial" w:cs="Arial"/>
          <w:color w:val="000000"/>
          <w:sz w:val="22"/>
          <w:szCs w:val="22"/>
        </w:rPr>
      </w:pPr>
      <w:r w:rsidRPr="00954F42">
        <w:rPr>
          <w:rFonts w:ascii="Arial" w:eastAsia="Arial" w:hAnsi="Arial" w:cs="Arial"/>
          <w:color w:val="000000"/>
          <w:sz w:val="22"/>
          <w:szCs w:val="22"/>
        </w:rPr>
        <w:t>Por otro lado, ciertos factores podrían influir en los cambios de uso del suelo una vez iniciado el proyecto de construcción del aeropuerto. Varios de ellos, como la disponibilidad de tierras y el sistema productivo pueden ser condicionados por la normativa establecida por la Organización de Aviación Civil Internacional (OACI), como lo señala que El Telégrafo, (2009). Por otro lado, la escasa disponibilidad de servicios básicos e infraestructura actual podrían convertirse en otra fuerte limitante en los procesos de adaptación del uso del suelo a las nuevas necesidades de la creciente densidad poblacional. Asociado a esta última, el empleo y expansión urbana generan la posibilidad de expansión de zonas antrópicas</w:t>
      </w:r>
      <w:r>
        <w:rPr>
          <w:rFonts w:ascii="Arial" w:eastAsia="Arial" w:hAnsi="Arial" w:cs="Arial"/>
          <w:color w:val="000000"/>
          <w:sz w:val="22"/>
          <w:szCs w:val="22"/>
        </w:rPr>
        <w:t xml:space="preserve"> como sucede en el estudio de</w:t>
      </w:r>
      <w:r w:rsidRPr="00954F42">
        <w:rPr>
          <w:rFonts w:ascii="Arial" w:eastAsia="Arial" w:hAnsi="Arial" w:cs="Arial"/>
          <w:color w:val="000000"/>
          <w:sz w:val="22"/>
          <w:szCs w:val="22"/>
        </w:rPr>
        <w:t xml:space="preserve"> Rosales (2013).</w:t>
      </w:r>
    </w:p>
    <w:p w:rsidR="00954F42" w:rsidRPr="00954F42" w:rsidRDefault="00954F42" w:rsidP="00954F42">
      <w:pPr>
        <w:jc w:val="both"/>
        <w:rPr>
          <w:rFonts w:ascii="Arial" w:eastAsia="Arial" w:hAnsi="Arial" w:cs="Arial"/>
          <w:color w:val="000000"/>
          <w:sz w:val="22"/>
          <w:szCs w:val="22"/>
        </w:rPr>
      </w:pPr>
    </w:p>
    <w:p w:rsidR="00954F42" w:rsidRPr="00954F42" w:rsidRDefault="00954F42" w:rsidP="00954F42">
      <w:pPr>
        <w:jc w:val="both"/>
        <w:rPr>
          <w:rFonts w:ascii="Arial" w:eastAsia="Arial" w:hAnsi="Arial" w:cs="Arial"/>
          <w:color w:val="000000"/>
          <w:sz w:val="22"/>
          <w:szCs w:val="22"/>
        </w:rPr>
      </w:pPr>
      <w:r w:rsidRPr="00954F42">
        <w:rPr>
          <w:rFonts w:ascii="Arial" w:eastAsia="Arial" w:hAnsi="Arial" w:cs="Arial"/>
          <w:color w:val="000000"/>
          <w:sz w:val="22"/>
          <w:szCs w:val="22"/>
        </w:rPr>
        <w:t>Durante el periodo 1998-2018, se destaca un comportamiento prácticamente estable. Mientras que, la prospección para el periodo 2020-2050, plantean un escenario tendencial en donde los usos de suelo a futuro se desarrollarán siguiendo las tendencias observadas en el pasado debido y a las tasas de variabilidad calculadas que van desde -2.66% en disminución anual de vegetación arbustiva y herbácea hasta un 35,2 % en aumento de zonas antrópicas; y un escenario conservacionista en el que el territorio y usos del suelo se ven afectados directamente por la construcción del nuevo aeropuerto de Guayaquil que contribuirá a la explosión demográfica acompañada en un sentido ideal, de mejoras en accesibilidad, educación, innovación y generación de empleo. En este caso, el megaproyecto también puede ser un factor que incentive a la creación de nuevas fuentes de generación de recursos económicos.</w:t>
      </w:r>
    </w:p>
    <w:p w:rsidR="00683B61" w:rsidRDefault="00683B61">
      <w:pPr>
        <w:pBdr>
          <w:top w:val="nil"/>
          <w:left w:val="nil"/>
          <w:bottom w:val="nil"/>
          <w:right w:val="nil"/>
          <w:between w:val="nil"/>
        </w:pBdr>
        <w:jc w:val="center"/>
        <w:rPr>
          <w:rFonts w:ascii="Arial" w:eastAsia="Arial" w:hAnsi="Arial" w:cs="Arial"/>
          <w:color w:val="000000"/>
          <w:sz w:val="22"/>
          <w:szCs w:val="22"/>
        </w:rPr>
      </w:pPr>
    </w:p>
    <w:p w:rsidR="00683B61" w:rsidRDefault="00683B61">
      <w:pPr>
        <w:widowControl w:val="0"/>
        <w:pBdr>
          <w:top w:val="nil"/>
          <w:left w:val="nil"/>
          <w:bottom w:val="nil"/>
          <w:right w:val="nil"/>
          <w:between w:val="nil"/>
        </w:pBdr>
        <w:jc w:val="both"/>
        <w:rPr>
          <w:rFonts w:ascii="Arial" w:eastAsia="Arial" w:hAnsi="Arial" w:cs="Arial"/>
          <w:color w:val="000000"/>
          <w:sz w:val="22"/>
          <w:szCs w:val="22"/>
        </w:rPr>
      </w:pPr>
    </w:p>
    <w:p w:rsidR="00683B61" w:rsidRDefault="00F1417B">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AGRADECIMIENTOS</w:t>
      </w:r>
    </w:p>
    <w:p w:rsidR="00683B61" w:rsidRDefault="00683B61">
      <w:pPr>
        <w:widowControl w:val="0"/>
        <w:pBdr>
          <w:top w:val="nil"/>
          <w:left w:val="nil"/>
          <w:bottom w:val="nil"/>
          <w:right w:val="nil"/>
          <w:between w:val="nil"/>
        </w:pBdr>
        <w:jc w:val="both"/>
        <w:rPr>
          <w:rFonts w:ascii="Arial" w:eastAsia="Arial" w:hAnsi="Arial" w:cs="Arial"/>
          <w:color w:val="000000"/>
          <w:sz w:val="22"/>
          <w:szCs w:val="22"/>
        </w:rPr>
      </w:pPr>
    </w:p>
    <w:p w:rsidR="00683B61" w:rsidRDefault="00083EF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 agradece a la Universidad de </w:t>
      </w:r>
      <w:proofErr w:type="spellStart"/>
      <w:r>
        <w:rPr>
          <w:rFonts w:ascii="Arial" w:eastAsia="Arial" w:hAnsi="Arial" w:cs="Arial"/>
          <w:color w:val="000000"/>
          <w:sz w:val="22"/>
          <w:szCs w:val="22"/>
        </w:rPr>
        <w:t>Sazburg</w:t>
      </w:r>
      <w:proofErr w:type="spellEnd"/>
      <w:r>
        <w:rPr>
          <w:rFonts w:ascii="Arial" w:eastAsia="Arial" w:hAnsi="Arial" w:cs="Arial"/>
          <w:color w:val="000000"/>
          <w:sz w:val="22"/>
          <w:szCs w:val="22"/>
        </w:rPr>
        <w:t>, UNIGIS América Latina, ACSAM Consultores Cía. Ltda.,</w:t>
      </w:r>
      <w:r w:rsidR="00F1417B">
        <w:rPr>
          <w:rFonts w:ascii="Arial" w:eastAsia="Arial" w:hAnsi="Arial" w:cs="Arial"/>
          <w:color w:val="000000"/>
          <w:sz w:val="22"/>
          <w:szCs w:val="22"/>
        </w:rPr>
        <w:t xml:space="preserve"> </w:t>
      </w:r>
      <w:r>
        <w:rPr>
          <w:rFonts w:ascii="Arial" w:eastAsia="Arial" w:hAnsi="Arial" w:cs="Arial"/>
          <w:color w:val="000000"/>
          <w:sz w:val="22"/>
          <w:szCs w:val="22"/>
        </w:rPr>
        <w:t xml:space="preserve">por el apoyo brindado con la formación y obtención de datos y a todo el equipo que formo parte de esta investigación en especial a la </w:t>
      </w:r>
      <w:proofErr w:type="spellStart"/>
      <w:r>
        <w:rPr>
          <w:rFonts w:ascii="Arial" w:eastAsia="Arial" w:hAnsi="Arial" w:cs="Arial"/>
          <w:color w:val="000000"/>
          <w:sz w:val="22"/>
          <w:szCs w:val="22"/>
        </w:rPr>
        <w:t>PHd</w:t>
      </w:r>
      <w:proofErr w:type="spellEnd"/>
      <w:r>
        <w:rPr>
          <w:rFonts w:ascii="Arial" w:eastAsia="Arial" w:hAnsi="Arial" w:cs="Arial"/>
          <w:color w:val="000000"/>
          <w:sz w:val="22"/>
          <w:szCs w:val="22"/>
        </w:rPr>
        <w:t xml:space="preserve">. Marcela </w:t>
      </w:r>
      <w:proofErr w:type="spellStart"/>
      <w:r>
        <w:rPr>
          <w:rFonts w:ascii="Arial" w:eastAsia="Arial" w:hAnsi="Arial" w:cs="Arial"/>
          <w:color w:val="000000"/>
          <w:sz w:val="22"/>
          <w:szCs w:val="22"/>
        </w:rPr>
        <w:t>Montivero</w:t>
      </w:r>
      <w:proofErr w:type="spellEnd"/>
      <w:r>
        <w:rPr>
          <w:rFonts w:ascii="Arial" w:eastAsia="Arial" w:hAnsi="Arial" w:cs="Arial"/>
          <w:color w:val="000000"/>
          <w:sz w:val="22"/>
          <w:szCs w:val="22"/>
        </w:rPr>
        <w:t xml:space="preserve"> y </w:t>
      </w:r>
      <w:proofErr w:type="spellStart"/>
      <w:r>
        <w:rPr>
          <w:rFonts w:ascii="Arial" w:eastAsia="Arial" w:hAnsi="Arial" w:cs="Arial"/>
          <w:color w:val="000000"/>
          <w:sz w:val="22"/>
          <w:szCs w:val="22"/>
        </w:rPr>
        <w:t>Laure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Collet</w:t>
      </w:r>
      <w:proofErr w:type="spellEnd"/>
      <w:r>
        <w:rPr>
          <w:rFonts w:ascii="Arial" w:eastAsia="Arial" w:hAnsi="Arial" w:cs="Arial"/>
          <w:color w:val="000000"/>
          <w:sz w:val="22"/>
          <w:szCs w:val="22"/>
        </w:rPr>
        <w:t xml:space="preserve"> </w:t>
      </w:r>
    </w:p>
    <w:p w:rsidR="00DA37AD" w:rsidRDefault="00DA37AD">
      <w:pPr>
        <w:pBdr>
          <w:top w:val="nil"/>
          <w:left w:val="nil"/>
          <w:bottom w:val="nil"/>
          <w:right w:val="nil"/>
          <w:between w:val="nil"/>
        </w:pBdr>
        <w:jc w:val="both"/>
        <w:rPr>
          <w:rFonts w:ascii="Arial" w:eastAsia="Arial" w:hAnsi="Arial" w:cs="Arial"/>
          <w:color w:val="000000"/>
          <w:sz w:val="22"/>
          <w:szCs w:val="22"/>
        </w:rPr>
      </w:pPr>
    </w:p>
    <w:p w:rsidR="00DA37AD" w:rsidRDefault="00DA37AD">
      <w:pPr>
        <w:pBdr>
          <w:top w:val="nil"/>
          <w:left w:val="nil"/>
          <w:bottom w:val="nil"/>
          <w:right w:val="nil"/>
          <w:between w:val="nil"/>
        </w:pBdr>
        <w:jc w:val="both"/>
        <w:rPr>
          <w:rFonts w:ascii="Arial" w:eastAsia="Arial" w:hAnsi="Arial" w:cs="Arial"/>
          <w:color w:val="000000"/>
          <w:sz w:val="22"/>
          <w:szCs w:val="22"/>
        </w:rPr>
      </w:pPr>
    </w:p>
    <w:p w:rsidR="00DA37AD" w:rsidRDefault="00DA37AD">
      <w:pPr>
        <w:pBdr>
          <w:top w:val="nil"/>
          <w:left w:val="nil"/>
          <w:bottom w:val="nil"/>
          <w:right w:val="nil"/>
          <w:between w:val="nil"/>
        </w:pBdr>
        <w:jc w:val="both"/>
        <w:rPr>
          <w:rFonts w:ascii="Arial" w:eastAsia="Arial" w:hAnsi="Arial" w:cs="Arial"/>
          <w:color w:val="000000"/>
          <w:sz w:val="22"/>
          <w:szCs w:val="22"/>
        </w:rPr>
      </w:pPr>
    </w:p>
    <w:p w:rsidR="00683B61" w:rsidRDefault="00683B61">
      <w:pPr>
        <w:pBdr>
          <w:top w:val="nil"/>
          <w:left w:val="nil"/>
          <w:bottom w:val="nil"/>
          <w:right w:val="nil"/>
          <w:between w:val="nil"/>
        </w:pBdr>
        <w:jc w:val="both"/>
        <w:rPr>
          <w:rFonts w:ascii="Arial" w:eastAsia="Arial" w:hAnsi="Arial" w:cs="Arial"/>
          <w:color w:val="000000"/>
          <w:sz w:val="22"/>
          <w:szCs w:val="22"/>
        </w:rPr>
      </w:pPr>
    </w:p>
    <w:p w:rsidR="00683B61" w:rsidRDefault="00F1417B">
      <w:pPr>
        <w:widowControl w:val="0"/>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REFERENCIAS</w:t>
      </w:r>
    </w:p>
    <w:p w:rsidR="00683B61" w:rsidRDefault="00683B61">
      <w:pPr>
        <w:pBdr>
          <w:top w:val="nil"/>
          <w:left w:val="nil"/>
          <w:bottom w:val="nil"/>
          <w:right w:val="nil"/>
          <w:between w:val="nil"/>
        </w:pBdr>
        <w:ind w:firstLine="227"/>
        <w:jc w:val="both"/>
        <w:rPr>
          <w:rFonts w:ascii="Arial" w:eastAsia="Arial" w:hAnsi="Arial" w:cs="Arial"/>
          <w:color w:val="000000"/>
        </w:rPr>
      </w:pPr>
    </w:p>
    <w:p w:rsidR="00083EF2" w:rsidRDefault="00083EF2" w:rsidP="00083EF2">
      <w:pPr>
        <w:spacing w:line="228" w:lineRule="auto"/>
        <w:ind w:left="284" w:hanging="284"/>
        <w:jc w:val="both"/>
        <w:rPr>
          <w:rFonts w:ascii="Arial" w:hAnsi="Arial" w:cs="Arial"/>
          <w:i/>
          <w:iCs/>
          <w:sz w:val="22"/>
          <w:szCs w:val="22"/>
        </w:rPr>
      </w:pPr>
      <w:r w:rsidRPr="00083EF2">
        <w:rPr>
          <w:rFonts w:ascii="Arial" w:hAnsi="Arial" w:cs="Arial"/>
          <w:sz w:val="22"/>
          <w:szCs w:val="22"/>
        </w:rPr>
        <w:t xml:space="preserve">AAG, Autoridad aeroportuaria de Guayaquil. (2009). </w:t>
      </w:r>
      <w:r w:rsidRPr="00083EF2">
        <w:rPr>
          <w:rFonts w:ascii="Arial" w:hAnsi="Arial" w:cs="Arial"/>
          <w:i/>
          <w:iCs/>
          <w:sz w:val="22"/>
          <w:szCs w:val="22"/>
        </w:rPr>
        <w:t xml:space="preserve">Plan de Desarrollo Integral de la Zona del Aeropuerto </w:t>
      </w:r>
      <w:proofErr w:type="spellStart"/>
      <w:r w:rsidRPr="00083EF2">
        <w:rPr>
          <w:rFonts w:ascii="Arial" w:hAnsi="Arial" w:cs="Arial"/>
          <w:i/>
          <w:iCs/>
          <w:sz w:val="22"/>
          <w:szCs w:val="22"/>
        </w:rPr>
        <w:t>Daular-Chongón</w:t>
      </w:r>
      <w:proofErr w:type="spellEnd"/>
      <w:r w:rsidRPr="00083EF2">
        <w:rPr>
          <w:rFonts w:ascii="Arial" w:hAnsi="Arial" w:cs="Arial"/>
          <w:i/>
          <w:iCs/>
          <w:sz w:val="22"/>
          <w:szCs w:val="22"/>
        </w:rPr>
        <w:t xml:space="preserve">. </w:t>
      </w:r>
      <w:r w:rsidRPr="00083EF2">
        <w:rPr>
          <w:rFonts w:ascii="Arial" w:hAnsi="Arial" w:cs="Arial"/>
          <w:sz w:val="22"/>
          <w:szCs w:val="22"/>
        </w:rPr>
        <w:t>GAD, Guayas.</w:t>
      </w:r>
      <w:r w:rsidRPr="00083EF2">
        <w:rPr>
          <w:rFonts w:ascii="Arial" w:hAnsi="Arial" w:cs="Arial"/>
          <w:i/>
          <w:iCs/>
          <w:sz w:val="22"/>
          <w:szCs w:val="22"/>
        </w:rPr>
        <w:t xml:space="preserve"> </w:t>
      </w:r>
      <w:r w:rsidRPr="00083EF2">
        <w:rPr>
          <w:rFonts w:ascii="Arial" w:hAnsi="Arial" w:cs="Arial"/>
          <w:sz w:val="22"/>
          <w:szCs w:val="22"/>
        </w:rPr>
        <w:t>Recuperado el 11 de 12 de 2019, de</w:t>
      </w:r>
      <w:r w:rsidRPr="00083EF2">
        <w:rPr>
          <w:rFonts w:ascii="Arial" w:hAnsi="Arial" w:cs="Arial"/>
          <w:i/>
          <w:iCs/>
          <w:sz w:val="22"/>
          <w:szCs w:val="22"/>
        </w:rPr>
        <w:t xml:space="preserve"> </w:t>
      </w:r>
      <w:hyperlink r:id="rId14" w:history="1">
        <w:r w:rsidRPr="00657EB6">
          <w:rPr>
            <w:rStyle w:val="Hipervnculo"/>
            <w:rFonts w:ascii="Arial" w:hAnsi="Arial" w:cs="Arial"/>
            <w:i/>
            <w:iCs/>
            <w:position w:val="0"/>
            <w:sz w:val="22"/>
            <w:szCs w:val="22"/>
          </w:rPr>
          <w:t>https://www.scribd.com/doc/138809900/Anexo-1-Plan-de-Desarrollo-Integral-de-la-Zona-del-Aeropuerto-Daular-Chongon-AAG-pdf</w:t>
        </w:r>
      </w:hyperlink>
    </w:p>
    <w:p w:rsidR="00083EF2" w:rsidRPr="00083EF2" w:rsidRDefault="00083EF2" w:rsidP="00083EF2">
      <w:pPr>
        <w:spacing w:line="228" w:lineRule="auto"/>
        <w:ind w:left="284" w:hanging="284"/>
        <w:jc w:val="both"/>
        <w:rPr>
          <w:rFonts w:ascii="Arial" w:hAnsi="Arial" w:cs="Arial"/>
          <w:i/>
          <w:iCs/>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Cerezo, A., Medina, G., </w:t>
      </w:r>
      <w:proofErr w:type="gramStart"/>
      <w:r w:rsidRPr="00083EF2">
        <w:rPr>
          <w:rFonts w:ascii="Arial" w:hAnsi="Arial" w:cs="Arial"/>
          <w:sz w:val="22"/>
          <w:szCs w:val="22"/>
        </w:rPr>
        <w:t>Viteri ,</w:t>
      </w:r>
      <w:proofErr w:type="gramEnd"/>
      <w:r w:rsidRPr="00083EF2">
        <w:rPr>
          <w:rFonts w:ascii="Arial" w:hAnsi="Arial" w:cs="Arial"/>
          <w:sz w:val="22"/>
          <w:szCs w:val="22"/>
        </w:rPr>
        <w:t xml:space="preserve"> R., y Álvarez, M. (2007). Caracterización y Propuesta Técnica de la Acuacultura en el Sector </w:t>
      </w:r>
      <w:proofErr w:type="spellStart"/>
      <w:r w:rsidRPr="00083EF2">
        <w:rPr>
          <w:rFonts w:ascii="Arial" w:hAnsi="Arial" w:cs="Arial"/>
          <w:sz w:val="22"/>
          <w:szCs w:val="22"/>
        </w:rPr>
        <w:t>Chongón</w:t>
      </w:r>
      <w:proofErr w:type="spellEnd"/>
      <w:r w:rsidRPr="00083EF2">
        <w:rPr>
          <w:rFonts w:ascii="Arial" w:hAnsi="Arial" w:cs="Arial"/>
          <w:sz w:val="22"/>
          <w:szCs w:val="22"/>
        </w:rPr>
        <w:t xml:space="preserve">. Guayaquil: ESPOL. Recuperado el 20 de Noviembre de 2019, de </w:t>
      </w:r>
      <w:hyperlink r:id="rId15" w:history="1">
        <w:r w:rsidRPr="00657EB6">
          <w:rPr>
            <w:rStyle w:val="Hipervnculo"/>
            <w:rFonts w:ascii="Arial" w:hAnsi="Arial" w:cs="Arial"/>
            <w:position w:val="0"/>
            <w:sz w:val="22"/>
            <w:szCs w:val="22"/>
          </w:rPr>
          <w:t>http://www.dspace.espol.edu.ec/xmlui/handle/123456789/4611</w:t>
        </w:r>
      </w:hyperlink>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Defensoría del Pueblo. (2017). </w:t>
      </w:r>
      <w:r w:rsidRPr="00083EF2">
        <w:rPr>
          <w:rFonts w:ascii="Arial" w:hAnsi="Arial" w:cs="Arial"/>
          <w:i/>
          <w:iCs/>
          <w:sz w:val="22"/>
          <w:szCs w:val="22"/>
        </w:rPr>
        <w:t>DPE-MNPT-2017-0019- Informe ejecutivo de la visita al aeropuerto José Joaquín De Olmedo de Guayaquil.</w:t>
      </w:r>
      <w:r w:rsidRPr="00083EF2">
        <w:rPr>
          <w:rFonts w:ascii="Arial" w:hAnsi="Arial" w:cs="Arial"/>
          <w:sz w:val="22"/>
          <w:szCs w:val="22"/>
        </w:rPr>
        <w:t xml:space="preserve"> Quito, Ecuador: Defensoría del Pueblo. Recuperado el 21 de Noviembre de 2019 en </w:t>
      </w:r>
      <w:hyperlink r:id="rId16" w:history="1">
        <w:r w:rsidRPr="00657EB6">
          <w:rPr>
            <w:rStyle w:val="Hipervnculo"/>
            <w:rFonts w:ascii="Arial" w:hAnsi="Arial" w:cs="Arial"/>
            <w:position w:val="0"/>
            <w:sz w:val="22"/>
            <w:szCs w:val="22"/>
          </w:rPr>
          <w:t>https://www.dpe.gob.ec/wp-content/dpemnpt/2017/informe-aeropuerto-guayaquil-2017.pdf</w:t>
        </w:r>
      </w:hyperlink>
      <w:r w:rsidRPr="00083EF2">
        <w:rPr>
          <w:rFonts w:ascii="Arial" w:hAnsi="Arial" w:cs="Arial"/>
          <w:sz w:val="22"/>
          <w:szCs w:val="22"/>
        </w:rPr>
        <w:t>.</w:t>
      </w:r>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rPr>
          <w:rFonts w:ascii="Arial" w:hAnsi="Arial" w:cs="Arial"/>
          <w:sz w:val="22"/>
          <w:szCs w:val="22"/>
        </w:rPr>
      </w:pPr>
      <w:r w:rsidRPr="00083EF2">
        <w:rPr>
          <w:rFonts w:ascii="Arial" w:hAnsi="Arial" w:cs="Arial"/>
          <w:sz w:val="22"/>
          <w:szCs w:val="22"/>
        </w:rPr>
        <w:t xml:space="preserve">El Telégrafo. (28 de junio 2009). Guayaquil avizora su futuro aeropuerto. Recuperado el 8 de noviembre de 2019, de </w:t>
      </w:r>
      <w:hyperlink r:id="rId17" w:history="1">
        <w:r w:rsidRPr="00657EB6">
          <w:rPr>
            <w:rStyle w:val="Hipervnculo"/>
            <w:rFonts w:ascii="Arial" w:hAnsi="Arial" w:cs="Arial"/>
            <w:position w:val="0"/>
            <w:sz w:val="22"/>
            <w:szCs w:val="22"/>
          </w:rPr>
          <w:t>http://www.ecuadorinmediato.com/index.php?module=Noticias&amp;func=news_user_view&amp;id=107356</w:t>
        </w:r>
      </w:hyperlink>
      <w:r w:rsidRPr="00083EF2">
        <w:rPr>
          <w:rFonts w:ascii="Arial" w:hAnsi="Arial" w:cs="Arial"/>
          <w:sz w:val="22"/>
          <w:szCs w:val="22"/>
        </w:rPr>
        <w:t xml:space="preserve"> </w:t>
      </w:r>
    </w:p>
    <w:p w:rsidR="00083EF2" w:rsidRPr="00083EF2" w:rsidRDefault="00083EF2" w:rsidP="00083EF2">
      <w:pPr>
        <w:spacing w:line="228" w:lineRule="auto"/>
        <w:ind w:left="284" w:hanging="284"/>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proofErr w:type="spellStart"/>
      <w:r w:rsidRPr="00083EF2">
        <w:rPr>
          <w:rFonts w:ascii="Arial" w:hAnsi="Arial" w:cs="Arial"/>
          <w:sz w:val="22"/>
          <w:szCs w:val="22"/>
        </w:rPr>
        <w:t>Estrucplan</w:t>
      </w:r>
      <w:proofErr w:type="spellEnd"/>
      <w:r w:rsidRPr="00083EF2">
        <w:rPr>
          <w:rFonts w:ascii="Arial" w:hAnsi="Arial" w:cs="Arial"/>
          <w:sz w:val="22"/>
          <w:szCs w:val="22"/>
        </w:rPr>
        <w:t xml:space="preserve">. (01 de enero de 2000). </w:t>
      </w:r>
      <w:r w:rsidRPr="00083EF2">
        <w:rPr>
          <w:rFonts w:ascii="Arial" w:hAnsi="Arial" w:cs="Arial"/>
          <w:i/>
          <w:iCs/>
          <w:sz w:val="22"/>
          <w:szCs w:val="22"/>
        </w:rPr>
        <w:t>Herramientas para la evaluación del Impacto Ambiental.</w:t>
      </w:r>
      <w:r w:rsidRPr="00083EF2">
        <w:rPr>
          <w:rFonts w:ascii="Arial" w:hAnsi="Arial" w:cs="Arial"/>
          <w:sz w:val="22"/>
          <w:szCs w:val="22"/>
        </w:rPr>
        <w:t xml:space="preserve"> Recuperado el 22 de febrero de 2019, de </w:t>
      </w:r>
      <w:hyperlink r:id="rId18" w:history="1">
        <w:r w:rsidRPr="00657EB6">
          <w:rPr>
            <w:rStyle w:val="Hipervnculo"/>
            <w:rFonts w:ascii="Arial" w:hAnsi="Arial" w:cs="Arial"/>
            <w:position w:val="0"/>
            <w:sz w:val="22"/>
            <w:szCs w:val="22"/>
          </w:rPr>
          <w:t>https://estrucplan.com.ar/herramientas-para-la-evaluacion-del-impacto-ambiental/</w:t>
        </w:r>
      </w:hyperlink>
      <w:r w:rsidRPr="00083EF2">
        <w:rPr>
          <w:rFonts w:ascii="Arial" w:hAnsi="Arial" w:cs="Arial"/>
          <w:sz w:val="22"/>
          <w:szCs w:val="22"/>
        </w:rPr>
        <w:t xml:space="preserve"> </w:t>
      </w:r>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Gómez Orea, D. (2008). </w:t>
      </w:r>
      <w:r w:rsidRPr="00083EF2">
        <w:rPr>
          <w:rFonts w:ascii="Arial" w:hAnsi="Arial" w:cs="Arial"/>
          <w:i/>
          <w:iCs/>
          <w:sz w:val="22"/>
          <w:szCs w:val="22"/>
        </w:rPr>
        <w:t>Ordenación Territorial.</w:t>
      </w:r>
      <w:r w:rsidRPr="00083EF2">
        <w:rPr>
          <w:rFonts w:ascii="Arial" w:hAnsi="Arial" w:cs="Arial"/>
          <w:sz w:val="22"/>
          <w:szCs w:val="22"/>
        </w:rPr>
        <w:t xml:space="preserve"> Madrid: </w:t>
      </w:r>
      <w:proofErr w:type="spellStart"/>
      <w:r w:rsidRPr="00083EF2">
        <w:rPr>
          <w:rFonts w:ascii="Arial" w:hAnsi="Arial" w:cs="Arial"/>
          <w:sz w:val="22"/>
          <w:szCs w:val="22"/>
        </w:rPr>
        <w:t>Mundi</w:t>
      </w:r>
      <w:proofErr w:type="spellEnd"/>
      <w:r w:rsidRPr="00083EF2">
        <w:rPr>
          <w:rFonts w:ascii="Arial" w:hAnsi="Arial" w:cs="Arial"/>
          <w:sz w:val="22"/>
          <w:szCs w:val="22"/>
        </w:rPr>
        <w:t>-prensa.</w:t>
      </w:r>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MAE-MAGAP, Ministerio del Ambiente Ecuatoriano y Ministerio de Agricultura, Ganadería y Pesca. (2015). </w:t>
      </w:r>
      <w:r w:rsidRPr="00083EF2">
        <w:rPr>
          <w:rFonts w:ascii="Arial" w:hAnsi="Arial" w:cs="Arial"/>
          <w:i/>
          <w:iCs/>
          <w:sz w:val="22"/>
          <w:szCs w:val="22"/>
        </w:rPr>
        <w:t>Protocolo Metodológico Para La Elaboración Del Mapa De Cobertura y Uso De La Tierra Del Ecuador Continental 2013-2014, Escala 1:100.00.</w:t>
      </w:r>
      <w:r w:rsidRPr="00083EF2">
        <w:rPr>
          <w:rFonts w:ascii="Arial" w:hAnsi="Arial" w:cs="Arial"/>
          <w:sz w:val="22"/>
          <w:szCs w:val="22"/>
        </w:rPr>
        <w:t xml:space="preserve"> Quito: Ministerio del Ambiente y Ministerio de Agricultura Ganadería y Pesca del Ecuador.</w:t>
      </w:r>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Moreno, E., Rivero, M., y Velásquez, M. (5 de octubre de 2017). </w:t>
      </w:r>
      <w:r w:rsidRPr="00083EF2">
        <w:rPr>
          <w:rFonts w:ascii="Arial" w:hAnsi="Arial" w:cs="Arial"/>
          <w:i/>
          <w:iCs/>
          <w:sz w:val="22"/>
          <w:szCs w:val="22"/>
        </w:rPr>
        <w:t>El nuevo aeropuerto internacional de la Ciudad de México y su impacto en la región oriente del estado de México.</w:t>
      </w:r>
      <w:r w:rsidRPr="00083EF2">
        <w:rPr>
          <w:rFonts w:ascii="Arial" w:hAnsi="Arial" w:cs="Arial"/>
          <w:sz w:val="22"/>
          <w:szCs w:val="22"/>
        </w:rPr>
        <w:t xml:space="preserve"> Recuperado el 06 de noviembre de 2019, de </w:t>
      </w:r>
      <w:hyperlink r:id="rId19" w:history="1">
        <w:r w:rsidRPr="00657EB6">
          <w:rPr>
            <w:rStyle w:val="Hipervnculo"/>
            <w:rFonts w:ascii="Arial" w:hAnsi="Arial" w:cs="Arial"/>
            <w:position w:val="0"/>
            <w:sz w:val="22"/>
            <w:szCs w:val="22"/>
          </w:rPr>
          <w:t>http://ru.iiec.unam.mx/3774/1/005-Moreno-Rivero-Vel%C3%A1zquez.pdf</w:t>
        </w:r>
      </w:hyperlink>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Moreno, J., </w:t>
      </w:r>
      <w:proofErr w:type="spellStart"/>
      <w:r w:rsidRPr="00083EF2">
        <w:rPr>
          <w:rFonts w:ascii="Arial" w:hAnsi="Arial" w:cs="Arial"/>
          <w:sz w:val="22"/>
          <w:szCs w:val="22"/>
        </w:rPr>
        <w:t>Villacis</w:t>
      </w:r>
      <w:proofErr w:type="spellEnd"/>
      <w:r w:rsidRPr="00083EF2">
        <w:rPr>
          <w:rFonts w:ascii="Arial" w:hAnsi="Arial" w:cs="Arial"/>
          <w:sz w:val="22"/>
          <w:szCs w:val="22"/>
        </w:rPr>
        <w:t xml:space="preserve">, C., y Velasco, G. (10 de agosto de 2018). </w:t>
      </w:r>
      <w:r w:rsidRPr="00083EF2">
        <w:rPr>
          <w:rFonts w:ascii="Arial" w:hAnsi="Arial" w:cs="Arial"/>
          <w:i/>
          <w:iCs/>
          <w:sz w:val="22"/>
          <w:szCs w:val="22"/>
        </w:rPr>
        <w:t xml:space="preserve">Alternativa de Diseño de la Terminal de Pasajeros del Nuevo Aeropuerto de </w:t>
      </w:r>
      <w:proofErr w:type="spellStart"/>
      <w:r w:rsidRPr="00083EF2">
        <w:rPr>
          <w:rFonts w:ascii="Arial" w:hAnsi="Arial" w:cs="Arial"/>
          <w:i/>
          <w:iCs/>
          <w:sz w:val="22"/>
          <w:szCs w:val="22"/>
        </w:rPr>
        <w:t>Daular</w:t>
      </w:r>
      <w:proofErr w:type="spellEnd"/>
      <w:r w:rsidRPr="00083EF2">
        <w:rPr>
          <w:rFonts w:ascii="Arial" w:hAnsi="Arial" w:cs="Arial"/>
          <w:i/>
          <w:iCs/>
          <w:sz w:val="22"/>
          <w:szCs w:val="22"/>
        </w:rPr>
        <w:t xml:space="preserve"> – Guayaquil. Escuela Superior Politécnica de Chimborazo;</w:t>
      </w:r>
      <w:r w:rsidRPr="00083EF2">
        <w:rPr>
          <w:rFonts w:ascii="Arial" w:hAnsi="Arial" w:cs="Arial"/>
          <w:sz w:val="22"/>
          <w:szCs w:val="22"/>
        </w:rPr>
        <w:t xml:space="preserve"> Recuperado el 11 de octubre de 2019, de </w:t>
      </w:r>
      <w:hyperlink r:id="rId20" w:history="1">
        <w:r w:rsidRPr="00657EB6">
          <w:rPr>
            <w:rStyle w:val="Hipervnculo"/>
            <w:rFonts w:ascii="Arial" w:hAnsi="Arial" w:cs="Arial"/>
            <w:position w:val="0"/>
            <w:sz w:val="22"/>
            <w:szCs w:val="22"/>
          </w:rPr>
          <w:t>https://www.eumed.net/rev/caribe/2018/08/diseno-terminal-pasajeros.html</w:t>
        </w:r>
      </w:hyperlink>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Nivelo, P. (27 de marzo de 2014). </w:t>
      </w:r>
      <w:r w:rsidRPr="00083EF2">
        <w:rPr>
          <w:rFonts w:ascii="Arial" w:hAnsi="Arial" w:cs="Arial"/>
          <w:i/>
          <w:iCs/>
          <w:sz w:val="22"/>
          <w:szCs w:val="22"/>
        </w:rPr>
        <w:t xml:space="preserve">Proyecto de estudio para el aeropuerto de Guayaquil mediante la implementación de recursos energéticos renovables en el sector </w:t>
      </w:r>
      <w:proofErr w:type="spellStart"/>
      <w:r w:rsidRPr="00083EF2">
        <w:rPr>
          <w:rFonts w:ascii="Arial" w:hAnsi="Arial" w:cs="Arial"/>
          <w:i/>
          <w:iCs/>
          <w:sz w:val="22"/>
          <w:szCs w:val="22"/>
        </w:rPr>
        <w:t>Daular</w:t>
      </w:r>
      <w:proofErr w:type="spellEnd"/>
      <w:r w:rsidRPr="00083EF2">
        <w:rPr>
          <w:rFonts w:ascii="Arial" w:hAnsi="Arial" w:cs="Arial"/>
          <w:i/>
          <w:iCs/>
          <w:sz w:val="22"/>
          <w:szCs w:val="22"/>
        </w:rPr>
        <w:t xml:space="preserve"> Provincia Del Guayas.</w:t>
      </w:r>
      <w:r w:rsidRPr="00083EF2">
        <w:rPr>
          <w:rFonts w:ascii="Arial" w:hAnsi="Arial" w:cs="Arial"/>
          <w:sz w:val="22"/>
          <w:szCs w:val="22"/>
        </w:rPr>
        <w:t xml:space="preserve"> Universidad de Guayaquil; Recuperado el 08 de octubre de 2019, de </w:t>
      </w:r>
      <w:hyperlink r:id="rId21" w:history="1">
        <w:r w:rsidRPr="00657EB6">
          <w:rPr>
            <w:rStyle w:val="Hipervnculo"/>
            <w:rFonts w:ascii="Arial" w:hAnsi="Arial" w:cs="Arial"/>
            <w:position w:val="0"/>
            <w:sz w:val="22"/>
            <w:szCs w:val="22"/>
          </w:rPr>
          <w:t>http://repositorio.ug.edu.ec/handle/redug/3885</w:t>
        </w:r>
      </w:hyperlink>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Pinos, N. (30 de noviembre de 2016). </w:t>
      </w:r>
      <w:r w:rsidRPr="00083EF2">
        <w:rPr>
          <w:rFonts w:ascii="Arial" w:hAnsi="Arial" w:cs="Arial"/>
          <w:i/>
          <w:iCs/>
          <w:sz w:val="22"/>
          <w:szCs w:val="22"/>
        </w:rPr>
        <w:t>Prospectiva Del Uso De Suelo Y Cobertura Vegetal En El Ordenamiento Territorial-Caso Cantón Cuenca.</w:t>
      </w:r>
      <w:r w:rsidRPr="00083EF2">
        <w:rPr>
          <w:rFonts w:ascii="Arial" w:hAnsi="Arial" w:cs="Arial"/>
          <w:sz w:val="22"/>
          <w:szCs w:val="22"/>
        </w:rPr>
        <w:t xml:space="preserve"> </w:t>
      </w:r>
      <w:proofErr w:type="spellStart"/>
      <w:r w:rsidRPr="00083EF2">
        <w:rPr>
          <w:rFonts w:ascii="Arial" w:hAnsi="Arial" w:cs="Arial"/>
          <w:sz w:val="22"/>
          <w:szCs w:val="22"/>
        </w:rPr>
        <w:t>Estoa</w:t>
      </w:r>
      <w:proofErr w:type="spellEnd"/>
      <w:r w:rsidRPr="00083EF2">
        <w:rPr>
          <w:rFonts w:ascii="Arial" w:hAnsi="Arial" w:cs="Arial"/>
          <w:sz w:val="22"/>
          <w:szCs w:val="22"/>
        </w:rPr>
        <w:t xml:space="preserve">. Revista De La Facultad De Arquitectura Y Urbanismo De La Universidad De Cuenca, 5(9), 7-19. Recuperado el 05 de noviembre de 2019 de </w:t>
      </w:r>
      <w:hyperlink r:id="rId22" w:history="1">
        <w:r w:rsidRPr="00657EB6">
          <w:rPr>
            <w:rStyle w:val="Hipervnculo"/>
            <w:rFonts w:ascii="Arial" w:hAnsi="Arial" w:cs="Arial"/>
            <w:position w:val="0"/>
            <w:sz w:val="22"/>
            <w:szCs w:val="22"/>
          </w:rPr>
          <w:t>https://doi.org/10.18537/est.v005.n009.02</w:t>
        </w:r>
      </w:hyperlink>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hAnsi="Arial" w:cs="Arial"/>
          <w:sz w:val="22"/>
          <w:szCs w:val="22"/>
        </w:rPr>
      </w:pPr>
      <w:r w:rsidRPr="00083EF2">
        <w:rPr>
          <w:rFonts w:ascii="Arial" w:hAnsi="Arial" w:cs="Arial"/>
          <w:sz w:val="22"/>
          <w:szCs w:val="22"/>
        </w:rPr>
        <w:t xml:space="preserve">Preciado, R. (29 de septiembre de 2016). Diseño Urbanístico De Los Centros Poblados El </w:t>
      </w:r>
      <w:proofErr w:type="spellStart"/>
      <w:r w:rsidRPr="00083EF2">
        <w:rPr>
          <w:rFonts w:ascii="Arial" w:hAnsi="Arial" w:cs="Arial"/>
          <w:sz w:val="22"/>
          <w:szCs w:val="22"/>
        </w:rPr>
        <w:t>Daular</w:t>
      </w:r>
      <w:proofErr w:type="spellEnd"/>
      <w:r w:rsidRPr="00083EF2">
        <w:rPr>
          <w:rFonts w:ascii="Arial" w:hAnsi="Arial" w:cs="Arial"/>
          <w:sz w:val="22"/>
          <w:szCs w:val="22"/>
        </w:rPr>
        <w:t xml:space="preserve"> – El Consuelo Del Cantón Guayaquil Provincia Del Guayas, Universidad de Guayaquil</w:t>
      </w:r>
      <w:r w:rsidRPr="00083EF2">
        <w:rPr>
          <w:rFonts w:ascii="Arial" w:hAnsi="Arial" w:cs="Arial"/>
          <w:i/>
          <w:iCs/>
          <w:sz w:val="22"/>
          <w:szCs w:val="22"/>
        </w:rPr>
        <w:t>.</w:t>
      </w:r>
      <w:r w:rsidRPr="00083EF2">
        <w:rPr>
          <w:rFonts w:ascii="Arial" w:hAnsi="Arial" w:cs="Arial"/>
          <w:sz w:val="22"/>
          <w:szCs w:val="22"/>
        </w:rPr>
        <w:t xml:space="preserve"> Recuperado el 15 de noviembre de 2019, de </w:t>
      </w:r>
      <w:hyperlink r:id="rId23" w:history="1">
        <w:r w:rsidRPr="00657EB6">
          <w:rPr>
            <w:rStyle w:val="Hipervnculo"/>
            <w:rFonts w:ascii="Arial" w:hAnsi="Arial" w:cs="Arial"/>
            <w:position w:val="0"/>
            <w:sz w:val="22"/>
            <w:szCs w:val="22"/>
          </w:rPr>
          <w:t>http://repositorio.ug.edu.ec/bitstream/redug/16633/1/TESIS%20%20FINAL%20R%20PRECIADO%20%2829%20SEPT%29.pdf</w:t>
        </w:r>
      </w:hyperlink>
    </w:p>
    <w:p w:rsidR="00083EF2" w:rsidRPr="00083EF2" w:rsidRDefault="00083EF2" w:rsidP="00083EF2">
      <w:pPr>
        <w:spacing w:line="228" w:lineRule="auto"/>
        <w:ind w:left="284" w:hanging="284"/>
        <w:jc w:val="both"/>
        <w:rPr>
          <w:rFonts w:ascii="Arial" w:hAnsi="Arial" w:cs="Arial"/>
          <w:sz w:val="22"/>
          <w:szCs w:val="22"/>
        </w:rPr>
      </w:pPr>
    </w:p>
    <w:p w:rsidR="00083EF2" w:rsidRDefault="00083EF2" w:rsidP="00083EF2">
      <w:pPr>
        <w:spacing w:line="228" w:lineRule="auto"/>
        <w:ind w:left="284" w:hanging="284"/>
        <w:jc w:val="both"/>
        <w:rPr>
          <w:rFonts w:ascii="Arial" w:eastAsia="Arial" w:hAnsi="Arial" w:cs="Arial"/>
          <w:color w:val="000000"/>
          <w:sz w:val="22"/>
          <w:szCs w:val="22"/>
        </w:rPr>
      </w:pPr>
      <w:r w:rsidRPr="00083EF2">
        <w:rPr>
          <w:rFonts w:ascii="Arial" w:hAnsi="Arial" w:cs="Arial"/>
          <w:sz w:val="22"/>
          <w:szCs w:val="22"/>
        </w:rPr>
        <w:t xml:space="preserve">Rosales, E. (18 de febrero de 2013). </w:t>
      </w:r>
      <w:r w:rsidRPr="00083EF2">
        <w:rPr>
          <w:rFonts w:ascii="Arial" w:hAnsi="Arial" w:cs="Arial"/>
          <w:i/>
          <w:iCs/>
          <w:sz w:val="22"/>
          <w:szCs w:val="22"/>
        </w:rPr>
        <w:t xml:space="preserve">Estudio prospectivo de la expansión del límite urbano del Distrito Metropolitano de Quito para las parroquias orientales de Calderón, </w:t>
      </w:r>
      <w:proofErr w:type="spellStart"/>
      <w:r w:rsidRPr="00083EF2">
        <w:rPr>
          <w:rFonts w:ascii="Arial" w:hAnsi="Arial" w:cs="Arial"/>
          <w:i/>
          <w:iCs/>
          <w:sz w:val="22"/>
          <w:szCs w:val="22"/>
        </w:rPr>
        <w:t>Puembo</w:t>
      </w:r>
      <w:proofErr w:type="spellEnd"/>
      <w:r w:rsidRPr="00083EF2">
        <w:rPr>
          <w:rFonts w:ascii="Arial" w:hAnsi="Arial" w:cs="Arial"/>
          <w:i/>
          <w:iCs/>
          <w:sz w:val="22"/>
          <w:szCs w:val="22"/>
        </w:rPr>
        <w:t xml:space="preserve"> y </w:t>
      </w:r>
      <w:proofErr w:type="spellStart"/>
      <w:r w:rsidRPr="00083EF2">
        <w:rPr>
          <w:rFonts w:ascii="Arial" w:hAnsi="Arial" w:cs="Arial"/>
          <w:i/>
          <w:iCs/>
          <w:sz w:val="22"/>
          <w:szCs w:val="22"/>
        </w:rPr>
        <w:t>Tababela</w:t>
      </w:r>
      <w:proofErr w:type="spellEnd"/>
      <w:r w:rsidRPr="00083EF2">
        <w:rPr>
          <w:rFonts w:ascii="Arial" w:hAnsi="Arial" w:cs="Arial"/>
          <w:i/>
          <w:iCs/>
          <w:sz w:val="22"/>
          <w:szCs w:val="22"/>
        </w:rPr>
        <w:t xml:space="preserve"> y su interrelación con la dinámica urbana de centralidades.</w:t>
      </w:r>
      <w:r w:rsidRPr="00083EF2">
        <w:rPr>
          <w:rFonts w:ascii="Arial" w:hAnsi="Arial" w:cs="Arial"/>
          <w:sz w:val="22"/>
          <w:szCs w:val="22"/>
        </w:rPr>
        <w:t xml:space="preserve"> PUCE; Recuperado el 10 de octubre de 2019, de </w:t>
      </w:r>
      <w:hyperlink r:id="rId24" w:history="1">
        <w:r w:rsidRPr="00657EB6">
          <w:rPr>
            <w:rStyle w:val="Hipervnculo"/>
            <w:rFonts w:ascii="Arial" w:hAnsi="Arial" w:cs="Arial"/>
            <w:position w:val="0"/>
            <w:sz w:val="22"/>
            <w:szCs w:val="22"/>
          </w:rPr>
          <w:t>http://repositorio.puce.edu.ec/handle</w:t>
        </w:r>
        <w:r w:rsidRPr="00657EB6">
          <w:rPr>
            <w:rStyle w:val="Hipervnculo"/>
            <w:rFonts w:ascii="Arial" w:eastAsia="Arial" w:hAnsi="Arial" w:cs="Arial"/>
            <w:position w:val="0"/>
            <w:sz w:val="22"/>
            <w:szCs w:val="22"/>
          </w:rPr>
          <w:t>/22000/11043</w:t>
        </w:r>
      </w:hyperlink>
    </w:p>
    <w:p w:rsidR="00083EF2" w:rsidRPr="00083EF2" w:rsidRDefault="00083EF2" w:rsidP="00083EF2">
      <w:pPr>
        <w:spacing w:line="228" w:lineRule="auto"/>
        <w:ind w:left="284" w:hanging="284"/>
        <w:jc w:val="both"/>
        <w:rPr>
          <w:rFonts w:ascii="Arial" w:hAnsi="Arial" w:cs="Arial"/>
          <w:sz w:val="22"/>
          <w:szCs w:val="22"/>
        </w:rPr>
      </w:pPr>
    </w:p>
    <w:sectPr w:rsidR="00083EF2" w:rsidRPr="00083EF2">
      <w:pgSz w:w="11906" w:h="16838"/>
      <w:pgMar w:top="2835" w:right="1985" w:bottom="2835" w:left="1985"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86AC9"/>
    <w:multiLevelType w:val="multilevel"/>
    <w:tmpl w:val="BD4CAEBA"/>
    <w:lvl w:ilvl="0">
      <w:start w:val="1"/>
      <w:numFmt w:val="decimal"/>
      <w:pStyle w:val="Titulocapitulo"/>
      <w:lvlText w:val="%1."/>
      <w:lvlJc w:val="left"/>
      <w:pPr>
        <w:ind w:left="360" w:hanging="360"/>
      </w:pPr>
      <w:rPr>
        <w:vertAlign w:val="baseline"/>
      </w:rPr>
    </w:lvl>
    <w:lvl w:ilvl="1">
      <w:start w:val="1"/>
      <w:numFmt w:val="lowerLetter"/>
      <w:pStyle w:val="Encabezado1"/>
      <w:lvlText w:val="%2."/>
      <w:lvlJc w:val="left"/>
      <w:pPr>
        <w:ind w:left="1080" w:hanging="360"/>
      </w:pPr>
      <w:rPr>
        <w:vertAlign w:val="baseline"/>
      </w:rPr>
    </w:lvl>
    <w:lvl w:ilvl="2">
      <w:start w:val="1"/>
      <w:numFmt w:val="lowerRoman"/>
      <w:pStyle w:val="Encabezado2"/>
      <w:lvlText w:val="%3."/>
      <w:lvlJc w:val="right"/>
      <w:pPr>
        <w:ind w:left="1800" w:hanging="180"/>
      </w:pPr>
      <w:rPr>
        <w:vertAlign w:val="baseline"/>
      </w:rPr>
    </w:lvl>
    <w:lvl w:ilvl="3">
      <w:start w:val="1"/>
      <w:numFmt w:val="decimal"/>
      <w:pStyle w:val="Encabezado3"/>
      <w:lvlText w:val="%4."/>
      <w:lvlJc w:val="left"/>
      <w:pPr>
        <w:ind w:left="2520" w:hanging="360"/>
      </w:pPr>
      <w:rPr>
        <w:vertAlign w:val="baseline"/>
      </w:rPr>
    </w:lvl>
    <w:lvl w:ilvl="4">
      <w:start w:val="1"/>
      <w:numFmt w:val="lowerLetter"/>
      <w:pStyle w:val="Encabezado4"/>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61"/>
    <w:rsid w:val="00083EF2"/>
    <w:rsid w:val="00087934"/>
    <w:rsid w:val="00123F77"/>
    <w:rsid w:val="00442709"/>
    <w:rsid w:val="004864AB"/>
    <w:rsid w:val="00683B61"/>
    <w:rsid w:val="006A1311"/>
    <w:rsid w:val="007C30FB"/>
    <w:rsid w:val="00893776"/>
    <w:rsid w:val="00954F42"/>
    <w:rsid w:val="00A21B76"/>
    <w:rsid w:val="00DA37AD"/>
    <w:rsid w:val="00F1417B"/>
    <w:rsid w:val="00FD7E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E7BF5-351F-4F88-BB0C-CC34729F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NormalParrafoNormalTexto">
    <w:name w:val="Normal;Parrafo Normal Texto"/>
    <w:pPr>
      <w:suppressAutoHyphens/>
      <w:spacing w:line="1" w:lineRule="atLeast"/>
      <w:ind w:leftChars="-1" w:left="-1" w:hangingChars="1" w:hanging="1"/>
      <w:jc w:val="both"/>
      <w:textDirection w:val="btLr"/>
      <w:textAlignment w:val="top"/>
      <w:outlineLvl w:val="0"/>
    </w:pPr>
    <w:rPr>
      <w:rFonts w:ascii="Times" w:hAnsi="Times"/>
      <w:position w:val="-1"/>
      <w:lang w:val="en-US" w:eastAsia="de-DE"/>
    </w:rPr>
  </w:style>
  <w:style w:type="paragraph" w:customStyle="1" w:styleId="Encabezado1">
    <w:name w:val="Encabezado 1"/>
    <w:basedOn w:val="NormalParrafoNormalTexto"/>
    <w:next w:val="NormalParrafoNormalTexto"/>
    <w:pPr>
      <w:keepNext/>
      <w:keepLines/>
      <w:numPr>
        <w:ilvl w:val="1"/>
        <w:numId w:val="1"/>
      </w:numPr>
      <w:tabs>
        <w:tab w:val="left" w:pos="624"/>
      </w:tabs>
      <w:suppressAutoHyphens w:val="0"/>
      <w:spacing w:before="240" w:after="180"/>
      <w:ind w:left="-1" w:firstLine="227"/>
      <w:outlineLvl w:val="1"/>
    </w:pPr>
    <w:rPr>
      <w:b/>
      <w:sz w:val="28"/>
      <w:szCs w:val="28"/>
      <w:lang w:val="es-ES"/>
    </w:rPr>
  </w:style>
  <w:style w:type="paragraph" w:customStyle="1" w:styleId="Encabezado2">
    <w:name w:val="Encabezado 2"/>
    <w:basedOn w:val="Encabezado1"/>
    <w:next w:val="NormalParrafoNormalTexto"/>
    <w:pPr>
      <w:numPr>
        <w:ilvl w:val="2"/>
      </w:numPr>
      <w:tabs>
        <w:tab w:val="clear" w:pos="624"/>
      </w:tabs>
      <w:spacing w:before="180" w:after="120"/>
      <w:ind w:left="-1" w:firstLine="227"/>
      <w:outlineLvl w:val="2"/>
    </w:pPr>
    <w:rPr>
      <w:sz w:val="24"/>
    </w:rPr>
  </w:style>
  <w:style w:type="paragraph" w:customStyle="1" w:styleId="Encabezado3">
    <w:name w:val="Encabezado 3"/>
    <w:basedOn w:val="Encabezado2"/>
    <w:next w:val="NormalParrafoNormalTexto"/>
    <w:pPr>
      <w:numPr>
        <w:ilvl w:val="3"/>
      </w:numPr>
      <w:spacing w:before="120"/>
      <w:ind w:left="-1" w:firstLine="227"/>
      <w:outlineLvl w:val="3"/>
    </w:pPr>
    <w:rPr>
      <w:b w:val="0"/>
    </w:rPr>
  </w:style>
  <w:style w:type="paragraph" w:styleId="Prrafodelista">
    <w:name w:val="List Paragraph"/>
    <w:basedOn w:val="NormalParrafoNormalTexto"/>
    <w:pPr>
      <w:ind w:left="720"/>
      <w:contextualSpacing/>
    </w:pPr>
  </w:style>
  <w:style w:type="paragraph" w:customStyle="1" w:styleId="Encabezado4">
    <w:name w:val="Encabezado 4"/>
    <w:basedOn w:val="Encabezado3"/>
    <w:next w:val="NormalParrafoNormalTexto"/>
    <w:pPr>
      <w:numPr>
        <w:ilvl w:val="4"/>
      </w:numPr>
      <w:tabs>
        <w:tab w:val="left" w:pos="1021"/>
      </w:tabs>
      <w:ind w:left="-1" w:firstLine="227"/>
    </w:pPr>
  </w:style>
  <w:style w:type="paragraph" w:customStyle="1" w:styleId="Titulocapitulo">
    <w:name w:val="Titulo capitulo"/>
    <w:basedOn w:val="NormalParrafoNormalTexto"/>
    <w:next w:val="NormalParrafoNormalTexto"/>
    <w:pPr>
      <w:keepNext/>
      <w:numPr>
        <w:numId w:val="1"/>
      </w:numPr>
      <w:spacing w:after="240"/>
      <w:ind w:left="-1" w:firstLine="227"/>
      <w:jc w:val="center"/>
    </w:pPr>
    <w:rPr>
      <w:b/>
      <w:sz w:val="32"/>
      <w:lang w:val="es-ES"/>
    </w:rPr>
  </w:style>
  <w:style w:type="character" w:styleId="Hipervnculo">
    <w:name w:val="Hyperlink"/>
    <w:rPr>
      <w:color w:val="0000FF"/>
      <w:w w:val="100"/>
      <w:position w:val="-1"/>
      <w:u w:val="single"/>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unhideWhenUsed/>
    <w:rsid w:val="00893776"/>
    <w:pPr>
      <w:spacing w:before="100" w:beforeAutospacing="1" w:after="100" w:afterAutospacing="1"/>
    </w:pPr>
    <w:rPr>
      <w:sz w:val="24"/>
      <w:szCs w:val="24"/>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3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is@sbg.ac.at" TargetMode="External"/><Relationship Id="rId13" Type="http://schemas.openxmlformats.org/officeDocument/2006/relationships/chart" Target="charts/chart3.xml"/><Relationship Id="rId18" Type="http://schemas.openxmlformats.org/officeDocument/2006/relationships/hyperlink" Target="https://estrucplan.com.ar/herramientas-para-la-evaluacion-del-impacto-ambienta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repositorio.ug.edu.ec/handle/redug/3885" TargetMode="External"/><Relationship Id="rId7" Type="http://schemas.openxmlformats.org/officeDocument/2006/relationships/hyperlink" Target="mailto:jfuertes@acsam.net" TargetMode="External"/><Relationship Id="rId12" Type="http://schemas.openxmlformats.org/officeDocument/2006/relationships/chart" Target="charts/chart2.xml"/><Relationship Id="rId17" Type="http://schemas.openxmlformats.org/officeDocument/2006/relationships/hyperlink" Target="http://www.ecuadorinmediato.com/index.php?module=Noticias&amp;func=news_user_view&amp;id=10735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pe.gob.ec/wp-content/dpemnpt/2017/informe-aeropuerto-guayaquil-2017.pdf" TargetMode="External"/><Relationship Id="rId20" Type="http://schemas.openxmlformats.org/officeDocument/2006/relationships/hyperlink" Target="https://www.eumed.net/rev/caribe/2018/08/diseno-terminal-pasajero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repositorio.puce.edu.ec/handle/22000/11043" TargetMode="External"/><Relationship Id="rId5" Type="http://schemas.openxmlformats.org/officeDocument/2006/relationships/settings" Target="settings.xml"/><Relationship Id="rId15" Type="http://schemas.openxmlformats.org/officeDocument/2006/relationships/hyperlink" Target="http://www.dspace.espol.edu.ec/xmlui/handle/123456789/4611" TargetMode="External"/><Relationship Id="rId23" Type="http://schemas.openxmlformats.org/officeDocument/2006/relationships/hyperlink" Target="http://repositorio.ug.edu.ec/bitstream/redug/16633/1/TESIS%20%20FINAL%20R%20PRECIADO%20%2829%20SEPT%29.pdf" TargetMode="External"/><Relationship Id="rId10" Type="http://schemas.openxmlformats.org/officeDocument/2006/relationships/image" Target="media/image1.jpeg"/><Relationship Id="rId19" Type="http://schemas.openxmlformats.org/officeDocument/2006/relationships/hyperlink" Target="http://ru.iiec.unam.mx/3774/1/005-Moreno-Rivero-Vel%C3%A1zquez.pdf" TargetMode="External"/><Relationship Id="rId4" Type="http://schemas.openxmlformats.org/officeDocument/2006/relationships/styles" Target="styles.xml"/><Relationship Id="rId9" Type="http://schemas.openxmlformats.org/officeDocument/2006/relationships/hyperlink" Target="mailto:office.americalatina@unigis.net" TargetMode="External"/><Relationship Id="rId14" Type="http://schemas.openxmlformats.org/officeDocument/2006/relationships/hyperlink" Target="https://www.scribd.com/doc/138809900/Anexo-1-Plan-de-Desarrollo-Integral-de-la-Zona-del-Aeropuerto-Daular-Chongon-AAG-pdf" TargetMode="External"/><Relationship Id="rId22" Type="http://schemas.openxmlformats.org/officeDocument/2006/relationships/hyperlink" Target="https://doi.org/10.18537/est.v005.n009.0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dat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dat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at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27791234187225"/>
          <c:y val="1.9172177182137626E-2"/>
          <c:w val="0.79521847848489136"/>
          <c:h val="0.43286952705263826"/>
        </c:manualLayout>
      </c:layout>
      <c:barChart>
        <c:barDir val="col"/>
        <c:grouping val="clustered"/>
        <c:varyColors val="0"/>
        <c:ser>
          <c:idx val="0"/>
          <c:order val="0"/>
          <c:tx>
            <c:strRef>
              <c:f>Hoja1!$J$3</c:f>
              <c:strCache>
                <c:ptCount val="1"/>
                <c:pt idx="0">
                  <c:v>Año 1998</c:v>
                </c:pt>
              </c:strCache>
            </c:strRef>
          </c:tx>
          <c:spPr>
            <a:pattFill prst="diagBrick">
              <a:fgClr>
                <a:srgbClr val="002060"/>
              </a:fgClr>
              <a:bgClr>
                <a:schemeClr val="bg1"/>
              </a:bgClr>
            </a:pattFill>
            <a:ln>
              <a:solidFill>
                <a:schemeClr val="tx1"/>
              </a:solidFill>
            </a:ln>
            <a:effectLst/>
          </c:spPr>
          <c:invertIfNegative val="0"/>
          <c:cat>
            <c:strRef>
              <c:f>Hoja1!$I$4:$I$10</c:f>
              <c:strCache>
                <c:ptCount val="7"/>
                <c:pt idx="0">
                  <c:v>Bosque %</c:v>
                </c:pt>
                <c:pt idx="1">
                  <c:v>Cuerpo de Agua %</c:v>
                </c:pt>
                <c:pt idx="2">
                  <c:v>Acuicola %</c:v>
                </c:pt>
                <c:pt idx="3">
                  <c:v>Zona Antropica %</c:v>
                </c:pt>
                <c:pt idx="4">
                  <c:v>Otras Tierras %</c:v>
                </c:pt>
                <c:pt idx="5">
                  <c:v>Tierras Agropecuarias %</c:v>
                </c:pt>
                <c:pt idx="6">
                  <c:v>Vegetación Arbustiva y Herbacea %</c:v>
                </c:pt>
              </c:strCache>
            </c:strRef>
          </c:cat>
          <c:val>
            <c:numRef>
              <c:f>Hoja1!$J$4:$J$10</c:f>
              <c:numCache>
                <c:formatCode>0.00</c:formatCode>
                <c:ptCount val="7"/>
                <c:pt idx="0">
                  <c:v>48.703113610652423</c:v>
                </c:pt>
                <c:pt idx="1">
                  <c:v>2.7157234320132848</c:v>
                </c:pt>
                <c:pt idx="2">
                  <c:v>13.305543647655469</c:v>
                </c:pt>
                <c:pt idx="3">
                  <c:v>2.0064596703927644</c:v>
                </c:pt>
                <c:pt idx="4">
                  <c:v>1.7925817479490469</c:v>
                </c:pt>
                <c:pt idx="5">
                  <c:v>11.698750934361763</c:v>
                </c:pt>
                <c:pt idx="6">
                  <c:v>19.777826956975254</c:v>
                </c:pt>
              </c:numCache>
            </c:numRef>
          </c:val>
          <c:extLst xmlns:c16r2="http://schemas.microsoft.com/office/drawing/2015/06/chart">
            <c:ext xmlns:c16="http://schemas.microsoft.com/office/drawing/2014/chart" uri="{C3380CC4-5D6E-409C-BE32-E72D297353CC}">
              <c16:uniqueId val="{00000000-DD48-5A42-97B6-ADC1D95ED859}"/>
            </c:ext>
          </c:extLst>
        </c:ser>
        <c:ser>
          <c:idx val="1"/>
          <c:order val="1"/>
          <c:tx>
            <c:strRef>
              <c:f>Hoja1!$K$3</c:f>
              <c:strCache>
                <c:ptCount val="1"/>
                <c:pt idx="0">
                  <c:v>Año 2005</c:v>
                </c:pt>
              </c:strCache>
            </c:strRef>
          </c:tx>
          <c:spPr>
            <a:pattFill prst="ltDnDiag">
              <a:fgClr>
                <a:schemeClr val="accent4">
                  <a:lumMod val="75000"/>
                </a:schemeClr>
              </a:fgClr>
              <a:bgClr>
                <a:schemeClr val="bg1"/>
              </a:bgClr>
            </a:pattFill>
            <a:ln>
              <a:solidFill>
                <a:schemeClr val="tx1"/>
              </a:solidFill>
            </a:ln>
            <a:effectLst/>
          </c:spPr>
          <c:invertIfNegative val="0"/>
          <c:cat>
            <c:strRef>
              <c:f>Hoja1!$I$4:$I$10</c:f>
              <c:strCache>
                <c:ptCount val="7"/>
                <c:pt idx="0">
                  <c:v>Bosque %</c:v>
                </c:pt>
                <c:pt idx="1">
                  <c:v>Cuerpo de Agua %</c:v>
                </c:pt>
                <c:pt idx="2">
                  <c:v>Acuicola %</c:v>
                </c:pt>
                <c:pt idx="3">
                  <c:v>Zona Antropica %</c:v>
                </c:pt>
                <c:pt idx="4">
                  <c:v>Otras Tierras %</c:v>
                </c:pt>
                <c:pt idx="5">
                  <c:v>Tierras Agropecuarias %</c:v>
                </c:pt>
                <c:pt idx="6">
                  <c:v>Vegetación Arbustiva y Herbacea %</c:v>
                </c:pt>
              </c:strCache>
            </c:strRef>
          </c:cat>
          <c:val>
            <c:numRef>
              <c:f>Hoja1!$K$4:$K$10</c:f>
              <c:numCache>
                <c:formatCode>0.00</c:formatCode>
                <c:ptCount val="7"/>
                <c:pt idx="0">
                  <c:v>43.889512427109608</c:v>
                </c:pt>
                <c:pt idx="1">
                  <c:v>3.860023367197408</c:v>
                </c:pt>
                <c:pt idx="2">
                  <c:v>11.6485870284603</c:v>
                </c:pt>
                <c:pt idx="3">
                  <c:v>3.3057708493252234</c:v>
                </c:pt>
                <c:pt idx="4">
                  <c:v>7.2182588872683358</c:v>
                </c:pt>
                <c:pt idx="5">
                  <c:v>12.703077315933339</c:v>
                </c:pt>
                <c:pt idx="6">
                  <c:v>17.374770124705783</c:v>
                </c:pt>
              </c:numCache>
            </c:numRef>
          </c:val>
          <c:extLst xmlns:c16r2="http://schemas.microsoft.com/office/drawing/2015/06/chart">
            <c:ext xmlns:c16="http://schemas.microsoft.com/office/drawing/2014/chart" uri="{C3380CC4-5D6E-409C-BE32-E72D297353CC}">
              <c16:uniqueId val="{00000001-DD48-5A42-97B6-ADC1D95ED859}"/>
            </c:ext>
          </c:extLst>
        </c:ser>
        <c:ser>
          <c:idx val="2"/>
          <c:order val="2"/>
          <c:tx>
            <c:strRef>
              <c:f>Hoja1!$L$3</c:f>
              <c:strCache>
                <c:ptCount val="1"/>
                <c:pt idx="0">
                  <c:v>Año 2013</c:v>
                </c:pt>
              </c:strCache>
            </c:strRef>
          </c:tx>
          <c:spPr>
            <a:pattFill prst="dashVert">
              <a:fgClr>
                <a:schemeClr val="accent1">
                  <a:lumMod val="60000"/>
                  <a:lumOff val="40000"/>
                </a:schemeClr>
              </a:fgClr>
              <a:bgClr>
                <a:schemeClr val="bg1"/>
              </a:bgClr>
            </a:pattFill>
            <a:ln>
              <a:solidFill>
                <a:schemeClr val="tx1"/>
              </a:solidFill>
            </a:ln>
            <a:effectLst/>
          </c:spPr>
          <c:invertIfNegative val="0"/>
          <c:cat>
            <c:strRef>
              <c:f>Hoja1!$I$4:$I$10</c:f>
              <c:strCache>
                <c:ptCount val="7"/>
                <c:pt idx="0">
                  <c:v>Bosque %</c:v>
                </c:pt>
                <c:pt idx="1">
                  <c:v>Cuerpo de Agua %</c:v>
                </c:pt>
                <c:pt idx="2">
                  <c:v>Acuicola %</c:v>
                </c:pt>
                <c:pt idx="3">
                  <c:v>Zona Antropica %</c:v>
                </c:pt>
                <c:pt idx="4">
                  <c:v>Otras Tierras %</c:v>
                </c:pt>
                <c:pt idx="5">
                  <c:v>Tierras Agropecuarias %</c:v>
                </c:pt>
                <c:pt idx="6">
                  <c:v>Vegetación Arbustiva y Herbacea %</c:v>
                </c:pt>
              </c:strCache>
            </c:strRef>
          </c:cat>
          <c:val>
            <c:numRef>
              <c:f>Hoja1!$L$4:$L$10</c:f>
              <c:numCache>
                <c:formatCode>0.00</c:formatCode>
                <c:ptCount val="7"/>
                <c:pt idx="0">
                  <c:v>39.476337516100017</c:v>
                </c:pt>
                <c:pt idx="1">
                  <c:v>2.5040048899424323</c:v>
                </c:pt>
                <c:pt idx="2">
                  <c:v>9.8870586464619219</c:v>
                </c:pt>
                <c:pt idx="3">
                  <c:v>5.7958650386152932</c:v>
                </c:pt>
                <c:pt idx="4">
                  <c:v>11.468133332222619</c:v>
                </c:pt>
                <c:pt idx="5">
                  <c:v>12.591818771632315</c:v>
                </c:pt>
                <c:pt idx="6">
                  <c:v>18.276781805025383</c:v>
                </c:pt>
              </c:numCache>
            </c:numRef>
          </c:val>
          <c:extLst xmlns:c16r2="http://schemas.microsoft.com/office/drawing/2015/06/chart">
            <c:ext xmlns:c16="http://schemas.microsoft.com/office/drawing/2014/chart" uri="{C3380CC4-5D6E-409C-BE32-E72D297353CC}">
              <c16:uniqueId val="{00000002-DD48-5A42-97B6-ADC1D95ED859}"/>
            </c:ext>
          </c:extLst>
        </c:ser>
        <c:ser>
          <c:idx val="3"/>
          <c:order val="3"/>
          <c:tx>
            <c:strRef>
              <c:f>Hoja1!$M$3</c:f>
              <c:strCache>
                <c:ptCount val="1"/>
                <c:pt idx="0">
                  <c:v>Año 2018</c:v>
                </c:pt>
              </c:strCache>
            </c:strRef>
          </c:tx>
          <c:spPr>
            <a:pattFill prst="wdUpDiag">
              <a:fgClr>
                <a:schemeClr val="tx1"/>
              </a:fgClr>
              <a:bgClr>
                <a:schemeClr val="bg1"/>
              </a:bgClr>
            </a:pattFill>
            <a:ln>
              <a:solidFill>
                <a:schemeClr val="tx1"/>
              </a:solidFill>
            </a:ln>
            <a:effectLst/>
          </c:spPr>
          <c:invertIfNegative val="0"/>
          <c:cat>
            <c:strRef>
              <c:f>Hoja1!$I$4:$I$10</c:f>
              <c:strCache>
                <c:ptCount val="7"/>
                <c:pt idx="0">
                  <c:v>Bosque %</c:v>
                </c:pt>
                <c:pt idx="1">
                  <c:v>Cuerpo de Agua %</c:v>
                </c:pt>
                <c:pt idx="2">
                  <c:v>Acuicola %</c:v>
                </c:pt>
                <c:pt idx="3">
                  <c:v>Zona Antropica %</c:v>
                </c:pt>
                <c:pt idx="4">
                  <c:v>Otras Tierras %</c:v>
                </c:pt>
                <c:pt idx="5">
                  <c:v>Tierras Agropecuarias %</c:v>
                </c:pt>
                <c:pt idx="6">
                  <c:v>Vegetación Arbustiva y Herbacea %</c:v>
                </c:pt>
              </c:strCache>
            </c:strRef>
          </c:cat>
          <c:val>
            <c:numRef>
              <c:f>Hoja1!$M$4:$M$10</c:f>
              <c:numCache>
                <c:formatCode>0.00</c:formatCode>
                <c:ptCount val="7"/>
                <c:pt idx="0">
                  <c:v>50.334745257775516</c:v>
                </c:pt>
                <c:pt idx="1">
                  <c:v>2.3643415051620105</c:v>
                </c:pt>
                <c:pt idx="2">
                  <c:v>12.170149018127006</c:v>
                </c:pt>
                <c:pt idx="3">
                  <c:v>16.132229793411259</c:v>
                </c:pt>
                <c:pt idx="4">
                  <c:v>2.1491481251634652</c:v>
                </c:pt>
                <c:pt idx="5">
                  <c:v>7.5840770827175188</c:v>
                </c:pt>
                <c:pt idx="6">
                  <c:v>9.2653092176432263</c:v>
                </c:pt>
              </c:numCache>
            </c:numRef>
          </c:val>
          <c:extLst xmlns:c16r2="http://schemas.microsoft.com/office/drawing/2015/06/chart">
            <c:ext xmlns:c16="http://schemas.microsoft.com/office/drawing/2014/chart" uri="{C3380CC4-5D6E-409C-BE32-E72D297353CC}">
              <c16:uniqueId val="{00000003-DD48-5A42-97B6-ADC1D95ED859}"/>
            </c:ext>
          </c:extLst>
        </c:ser>
        <c:dLbls>
          <c:showLegendKey val="0"/>
          <c:showVal val="0"/>
          <c:showCatName val="0"/>
          <c:showSerName val="0"/>
          <c:showPercent val="0"/>
          <c:showBubbleSize val="0"/>
        </c:dLbls>
        <c:gapWidth val="150"/>
        <c:axId val="390578200"/>
        <c:axId val="390578592"/>
      </c:barChart>
      <c:catAx>
        <c:axId val="390578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crossAx val="390578592"/>
        <c:crosses val="autoZero"/>
        <c:auto val="1"/>
        <c:lblAlgn val="ctr"/>
        <c:lblOffset val="100"/>
        <c:noMultiLvlLbl val="0"/>
      </c:catAx>
      <c:valAx>
        <c:axId val="39057859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C"/>
                  <a:t>% Porcentaje de Ocupación</a:t>
                </a:r>
              </a:p>
            </c:rich>
          </c:tx>
          <c:layout>
            <c:manualLayout>
              <c:xMode val="edge"/>
              <c:yMode val="edge"/>
              <c:x val="5.4154615377596922E-2"/>
              <c:y val="3.433561459023228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crossAx val="390578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dTable>
      <c:spPr>
        <a:noFill/>
        <a:ln w="25400">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932434992017753E-2"/>
          <c:y val="4.5881126173096975E-2"/>
          <c:w val="0.90882701517980358"/>
          <c:h val="0.65297710049017599"/>
        </c:manualLayout>
      </c:layout>
      <c:barChart>
        <c:barDir val="col"/>
        <c:grouping val="clustered"/>
        <c:varyColors val="0"/>
        <c:ser>
          <c:idx val="0"/>
          <c:order val="0"/>
          <c:tx>
            <c:strRef>
              <c:f>Hoja4!$A$20</c:f>
              <c:strCache>
                <c:ptCount val="1"/>
                <c:pt idx="0">
                  <c:v>Bosque</c:v>
                </c:pt>
              </c:strCache>
            </c:strRef>
          </c:tx>
          <c:spPr>
            <a:pattFill prst="pct25">
              <a:fgClr>
                <a:srgbClr val="00B050"/>
              </a:fgClr>
              <a:bgClr>
                <a:schemeClr val="bg1"/>
              </a:bgClr>
            </a:pattFill>
            <a:ln>
              <a:solidFill>
                <a:schemeClr val="tx1"/>
              </a:solidFill>
            </a:ln>
            <a:effectLst/>
          </c:spPr>
          <c:invertIfNegative val="0"/>
          <c:cat>
            <c:strRef>
              <c:f>Hoja4!$B$19:$G$19</c:f>
              <c:strCache>
                <c:ptCount val="6"/>
                <c:pt idx="0">
                  <c:v>2020-2025</c:v>
                </c:pt>
                <c:pt idx="1">
                  <c:v>2025-2030</c:v>
                </c:pt>
                <c:pt idx="2">
                  <c:v>2030-2035</c:v>
                </c:pt>
                <c:pt idx="3">
                  <c:v>2035-2040</c:v>
                </c:pt>
                <c:pt idx="4">
                  <c:v>2040-2045</c:v>
                </c:pt>
                <c:pt idx="5">
                  <c:v>2045-2050</c:v>
                </c:pt>
              </c:strCache>
            </c:strRef>
          </c:cat>
          <c:val>
            <c:numRef>
              <c:f>Hoja4!$B$20:$G$20</c:f>
              <c:numCache>
                <c:formatCode>0</c:formatCode>
                <c:ptCount val="6"/>
                <c:pt idx="0">
                  <c:v>0</c:v>
                </c:pt>
                <c:pt idx="1">
                  <c:v>0</c:v>
                </c:pt>
                <c:pt idx="2">
                  <c:v>0</c:v>
                </c:pt>
                <c:pt idx="3">
                  <c:v>-1</c:v>
                </c:pt>
                <c:pt idx="4">
                  <c:v>-2</c:v>
                </c:pt>
                <c:pt idx="5">
                  <c:v>-3</c:v>
                </c:pt>
              </c:numCache>
            </c:numRef>
          </c:val>
          <c:extLst xmlns:c16r2="http://schemas.microsoft.com/office/drawing/2015/06/chart">
            <c:ext xmlns:c16="http://schemas.microsoft.com/office/drawing/2014/chart" uri="{C3380CC4-5D6E-409C-BE32-E72D297353CC}">
              <c16:uniqueId val="{00000000-05B9-4D2C-87CD-61CF22F3F1FB}"/>
            </c:ext>
          </c:extLst>
        </c:ser>
        <c:ser>
          <c:idx val="1"/>
          <c:order val="1"/>
          <c:tx>
            <c:strRef>
              <c:f>Hoja4!$A$21</c:f>
              <c:strCache>
                <c:ptCount val="1"/>
                <c:pt idx="0">
                  <c:v>Cuerpo de Agua</c:v>
                </c:pt>
              </c:strCache>
            </c:strRef>
          </c:tx>
          <c:spPr>
            <a:pattFill prst="pct70">
              <a:fgClr>
                <a:srgbClr val="0070C0"/>
              </a:fgClr>
              <a:bgClr>
                <a:schemeClr val="bg1"/>
              </a:bgClr>
            </a:pattFill>
            <a:ln>
              <a:solidFill>
                <a:schemeClr val="tx1"/>
              </a:solidFill>
            </a:ln>
            <a:effectLst/>
          </c:spPr>
          <c:invertIfNegative val="0"/>
          <c:cat>
            <c:strRef>
              <c:f>Hoja4!$B$19:$G$19</c:f>
              <c:strCache>
                <c:ptCount val="6"/>
                <c:pt idx="0">
                  <c:v>2020-2025</c:v>
                </c:pt>
                <c:pt idx="1">
                  <c:v>2025-2030</c:v>
                </c:pt>
                <c:pt idx="2">
                  <c:v>2030-2035</c:v>
                </c:pt>
                <c:pt idx="3">
                  <c:v>2035-2040</c:v>
                </c:pt>
                <c:pt idx="4">
                  <c:v>2040-2045</c:v>
                </c:pt>
                <c:pt idx="5">
                  <c:v>2045-2050</c:v>
                </c:pt>
              </c:strCache>
            </c:strRef>
          </c:cat>
          <c:val>
            <c:numRef>
              <c:f>Hoja4!$B$21:$G$21</c:f>
              <c:numCache>
                <c:formatCode>0</c:formatCode>
                <c:ptCount val="6"/>
                <c:pt idx="0">
                  <c:v>0</c:v>
                </c:pt>
                <c:pt idx="1">
                  <c:v>0</c:v>
                </c:pt>
                <c:pt idx="2">
                  <c:v>0</c:v>
                </c:pt>
                <c:pt idx="3">
                  <c:v>-1</c:v>
                </c:pt>
                <c:pt idx="4">
                  <c:v>-1</c:v>
                </c:pt>
                <c:pt idx="5">
                  <c:v>-2</c:v>
                </c:pt>
              </c:numCache>
            </c:numRef>
          </c:val>
          <c:extLst xmlns:c16r2="http://schemas.microsoft.com/office/drawing/2015/06/chart">
            <c:ext xmlns:c16="http://schemas.microsoft.com/office/drawing/2014/chart" uri="{C3380CC4-5D6E-409C-BE32-E72D297353CC}">
              <c16:uniqueId val="{00000001-05B9-4D2C-87CD-61CF22F3F1FB}"/>
            </c:ext>
          </c:extLst>
        </c:ser>
        <c:ser>
          <c:idx val="2"/>
          <c:order val="2"/>
          <c:tx>
            <c:strRef>
              <c:f>Hoja4!$A$22</c:f>
              <c:strCache>
                <c:ptCount val="1"/>
                <c:pt idx="0">
                  <c:v>Acuicola</c:v>
                </c:pt>
              </c:strCache>
            </c:strRef>
          </c:tx>
          <c:spPr>
            <a:pattFill prst="wave">
              <a:fgClr>
                <a:srgbClr val="0070C0"/>
              </a:fgClr>
              <a:bgClr>
                <a:schemeClr val="bg1"/>
              </a:bgClr>
            </a:pattFill>
            <a:ln>
              <a:solidFill>
                <a:schemeClr val="tx1"/>
              </a:solidFill>
            </a:ln>
            <a:effectLst/>
          </c:spPr>
          <c:invertIfNegative val="0"/>
          <c:cat>
            <c:strRef>
              <c:f>Hoja4!$B$19:$G$19</c:f>
              <c:strCache>
                <c:ptCount val="6"/>
                <c:pt idx="0">
                  <c:v>2020-2025</c:v>
                </c:pt>
                <c:pt idx="1">
                  <c:v>2025-2030</c:v>
                </c:pt>
                <c:pt idx="2">
                  <c:v>2030-2035</c:v>
                </c:pt>
                <c:pt idx="3">
                  <c:v>2035-2040</c:v>
                </c:pt>
                <c:pt idx="4">
                  <c:v>2040-2045</c:v>
                </c:pt>
                <c:pt idx="5">
                  <c:v>2045-2050</c:v>
                </c:pt>
              </c:strCache>
            </c:strRef>
          </c:cat>
          <c:val>
            <c:numRef>
              <c:f>Hoja4!$B$22:$G$22</c:f>
              <c:numCache>
                <c:formatCode>0</c:formatCode>
                <c:ptCount val="6"/>
                <c:pt idx="0">
                  <c:v>0</c:v>
                </c:pt>
                <c:pt idx="1">
                  <c:v>0</c:v>
                </c:pt>
                <c:pt idx="2">
                  <c:v>1</c:v>
                </c:pt>
                <c:pt idx="3">
                  <c:v>1</c:v>
                </c:pt>
                <c:pt idx="4">
                  <c:v>3</c:v>
                </c:pt>
                <c:pt idx="5">
                  <c:v>3</c:v>
                </c:pt>
              </c:numCache>
            </c:numRef>
          </c:val>
          <c:extLst xmlns:c16r2="http://schemas.microsoft.com/office/drawing/2015/06/chart">
            <c:ext xmlns:c16="http://schemas.microsoft.com/office/drawing/2014/chart" uri="{C3380CC4-5D6E-409C-BE32-E72D297353CC}">
              <c16:uniqueId val="{00000002-05B9-4D2C-87CD-61CF22F3F1FB}"/>
            </c:ext>
          </c:extLst>
        </c:ser>
        <c:ser>
          <c:idx val="3"/>
          <c:order val="3"/>
          <c:tx>
            <c:strRef>
              <c:f>Hoja4!$A$23</c:f>
              <c:strCache>
                <c:ptCount val="1"/>
                <c:pt idx="0">
                  <c:v>Zona Antropica</c:v>
                </c:pt>
              </c:strCache>
            </c:strRef>
          </c:tx>
          <c:spPr>
            <a:pattFill prst="lgCheck">
              <a:fgClr>
                <a:srgbClr val="FF0000"/>
              </a:fgClr>
              <a:bgClr>
                <a:schemeClr val="bg1"/>
              </a:bgClr>
            </a:pattFill>
            <a:ln>
              <a:solidFill>
                <a:schemeClr val="tx1"/>
              </a:solidFill>
            </a:ln>
            <a:effectLst/>
          </c:spPr>
          <c:invertIfNegative val="0"/>
          <c:cat>
            <c:strRef>
              <c:f>Hoja4!$B$19:$G$19</c:f>
              <c:strCache>
                <c:ptCount val="6"/>
                <c:pt idx="0">
                  <c:v>2020-2025</c:v>
                </c:pt>
                <c:pt idx="1">
                  <c:v>2025-2030</c:v>
                </c:pt>
                <c:pt idx="2">
                  <c:v>2030-2035</c:v>
                </c:pt>
                <c:pt idx="3">
                  <c:v>2035-2040</c:v>
                </c:pt>
                <c:pt idx="4">
                  <c:v>2040-2045</c:v>
                </c:pt>
                <c:pt idx="5">
                  <c:v>2045-2050</c:v>
                </c:pt>
              </c:strCache>
            </c:strRef>
          </c:cat>
          <c:val>
            <c:numRef>
              <c:f>Hoja4!$B$23:$G$23</c:f>
              <c:numCache>
                <c:formatCode>0</c:formatCode>
                <c:ptCount val="6"/>
                <c:pt idx="0">
                  <c:v>0</c:v>
                </c:pt>
                <c:pt idx="1">
                  <c:v>1</c:v>
                </c:pt>
                <c:pt idx="2">
                  <c:v>2</c:v>
                </c:pt>
                <c:pt idx="3">
                  <c:v>2</c:v>
                </c:pt>
                <c:pt idx="4">
                  <c:v>4</c:v>
                </c:pt>
                <c:pt idx="5">
                  <c:v>6</c:v>
                </c:pt>
              </c:numCache>
            </c:numRef>
          </c:val>
          <c:extLst xmlns:c16r2="http://schemas.microsoft.com/office/drawing/2015/06/chart">
            <c:ext xmlns:c16="http://schemas.microsoft.com/office/drawing/2014/chart" uri="{C3380CC4-5D6E-409C-BE32-E72D297353CC}">
              <c16:uniqueId val="{00000003-05B9-4D2C-87CD-61CF22F3F1FB}"/>
            </c:ext>
          </c:extLst>
        </c:ser>
        <c:ser>
          <c:idx val="4"/>
          <c:order val="4"/>
          <c:tx>
            <c:strRef>
              <c:f>Hoja4!$A$24</c:f>
              <c:strCache>
                <c:ptCount val="1"/>
                <c:pt idx="0">
                  <c:v>Otras Tierras</c:v>
                </c:pt>
              </c:strCache>
            </c:strRef>
          </c:tx>
          <c:spPr>
            <a:pattFill prst="dashUpDiag">
              <a:fgClr>
                <a:schemeClr val="tx1">
                  <a:lumMod val="50000"/>
                  <a:lumOff val="50000"/>
                </a:schemeClr>
              </a:fgClr>
              <a:bgClr>
                <a:schemeClr val="bg1"/>
              </a:bgClr>
            </a:pattFill>
            <a:ln>
              <a:solidFill>
                <a:schemeClr val="tx1"/>
              </a:solidFill>
            </a:ln>
            <a:effectLst/>
          </c:spPr>
          <c:invertIfNegative val="0"/>
          <c:cat>
            <c:strRef>
              <c:f>Hoja4!$B$19:$G$19</c:f>
              <c:strCache>
                <c:ptCount val="6"/>
                <c:pt idx="0">
                  <c:v>2020-2025</c:v>
                </c:pt>
                <c:pt idx="1">
                  <c:v>2025-2030</c:v>
                </c:pt>
                <c:pt idx="2">
                  <c:v>2030-2035</c:v>
                </c:pt>
                <c:pt idx="3">
                  <c:v>2035-2040</c:v>
                </c:pt>
                <c:pt idx="4">
                  <c:v>2040-2045</c:v>
                </c:pt>
                <c:pt idx="5">
                  <c:v>2045-2050</c:v>
                </c:pt>
              </c:strCache>
            </c:strRef>
          </c:cat>
          <c:val>
            <c:numRef>
              <c:f>Hoja4!$B$24:$G$24</c:f>
              <c:numCache>
                <c:formatCode>0</c:formatCode>
                <c:ptCount val="6"/>
                <c:pt idx="0">
                  <c:v>0</c:v>
                </c:pt>
                <c:pt idx="1">
                  <c:v>0</c:v>
                </c:pt>
                <c:pt idx="2">
                  <c:v>2</c:v>
                </c:pt>
                <c:pt idx="3">
                  <c:v>1</c:v>
                </c:pt>
                <c:pt idx="4">
                  <c:v>0</c:v>
                </c:pt>
                <c:pt idx="5">
                  <c:v>0</c:v>
                </c:pt>
              </c:numCache>
            </c:numRef>
          </c:val>
          <c:extLst xmlns:c16r2="http://schemas.microsoft.com/office/drawing/2015/06/chart">
            <c:ext xmlns:c16="http://schemas.microsoft.com/office/drawing/2014/chart" uri="{C3380CC4-5D6E-409C-BE32-E72D297353CC}">
              <c16:uniqueId val="{00000004-05B9-4D2C-87CD-61CF22F3F1FB}"/>
            </c:ext>
          </c:extLst>
        </c:ser>
        <c:ser>
          <c:idx val="5"/>
          <c:order val="5"/>
          <c:tx>
            <c:strRef>
              <c:f>Hoja4!$A$25</c:f>
              <c:strCache>
                <c:ptCount val="1"/>
                <c:pt idx="0">
                  <c:v>Tierras Agropecuarias</c:v>
                </c:pt>
              </c:strCache>
            </c:strRef>
          </c:tx>
          <c:spPr>
            <a:pattFill prst="sphere">
              <a:fgClr>
                <a:srgbClr val="92D050"/>
              </a:fgClr>
              <a:bgClr>
                <a:schemeClr val="bg1"/>
              </a:bgClr>
            </a:pattFill>
            <a:ln>
              <a:solidFill>
                <a:schemeClr val="tx1"/>
              </a:solidFill>
            </a:ln>
            <a:effectLst/>
          </c:spPr>
          <c:invertIfNegative val="0"/>
          <c:cat>
            <c:strRef>
              <c:f>Hoja4!$B$19:$G$19</c:f>
              <c:strCache>
                <c:ptCount val="6"/>
                <c:pt idx="0">
                  <c:v>2020-2025</c:v>
                </c:pt>
                <c:pt idx="1">
                  <c:v>2025-2030</c:v>
                </c:pt>
                <c:pt idx="2">
                  <c:v>2030-2035</c:v>
                </c:pt>
                <c:pt idx="3">
                  <c:v>2035-2040</c:v>
                </c:pt>
                <c:pt idx="4">
                  <c:v>2040-2045</c:v>
                </c:pt>
                <c:pt idx="5">
                  <c:v>2045-2050</c:v>
                </c:pt>
              </c:strCache>
            </c:strRef>
          </c:cat>
          <c:val>
            <c:numRef>
              <c:f>Hoja4!$B$25:$G$25</c:f>
              <c:numCache>
                <c:formatCode>0</c:formatCode>
                <c:ptCount val="6"/>
                <c:pt idx="0">
                  <c:v>0</c:v>
                </c:pt>
                <c:pt idx="1">
                  <c:v>1</c:v>
                </c:pt>
                <c:pt idx="2">
                  <c:v>1</c:v>
                </c:pt>
                <c:pt idx="3">
                  <c:v>2</c:v>
                </c:pt>
                <c:pt idx="4">
                  <c:v>1</c:v>
                </c:pt>
                <c:pt idx="5">
                  <c:v>0</c:v>
                </c:pt>
              </c:numCache>
            </c:numRef>
          </c:val>
          <c:extLst xmlns:c16r2="http://schemas.microsoft.com/office/drawing/2015/06/chart">
            <c:ext xmlns:c16="http://schemas.microsoft.com/office/drawing/2014/chart" uri="{C3380CC4-5D6E-409C-BE32-E72D297353CC}">
              <c16:uniqueId val="{00000005-05B9-4D2C-87CD-61CF22F3F1FB}"/>
            </c:ext>
          </c:extLst>
        </c:ser>
        <c:ser>
          <c:idx val="6"/>
          <c:order val="6"/>
          <c:tx>
            <c:strRef>
              <c:f>Hoja4!$A$26</c:f>
              <c:strCache>
                <c:ptCount val="1"/>
                <c:pt idx="0">
                  <c:v>Vegetación Arbustiva y Herbacea</c:v>
                </c:pt>
              </c:strCache>
            </c:strRef>
          </c:tx>
          <c:spPr>
            <a:pattFill prst="smCheck">
              <a:fgClr>
                <a:srgbClr val="FFFF00"/>
              </a:fgClr>
              <a:bgClr>
                <a:schemeClr val="bg1"/>
              </a:bgClr>
            </a:pattFill>
            <a:ln>
              <a:solidFill>
                <a:schemeClr val="tx1"/>
              </a:solidFill>
            </a:ln>
            <a:effectLst/>
          </c:spPr>
          <c:invertIfNegative val="0"/>
          <c:cat>
            <c:strRef>
              <c:f>Hoja4!$B$19:$G$19</c:f>
              <c:strCache>
                <c:ptCount val="6"/>
                <c:pt idx="0">
                  <c:v>2020-2025</c:v>
                </c:pt>
                <c:pt idx="1">
                  <c:v>2025-2030</c:v>
                </c:pt>
                <c:pt idx="2">
                  <c:v>2030-2035</c:v>
                </c:pt>
                <c:pt idx="3">
                  <c:v>2035-2040</c:v>
                </c:pt>
                <c:pt idx="4">
                  <c:v>2040-2045</c:v>
                </c:pt>
                <c:pt idx="5">
                  <c:v>2045-2050</c:v>
                </c:pt>
              </c:strCache>
            </c:strRef>
          </c:cat>
          <c:val>
            <c:numRef>
              <c:f>Hoja4!$B$26:$G$26</c:f>
              <c:numCache>
                <c:formatCode>0</c:formatCode>
                <c:ptCount val="6"/>
                <c:pt idx="0">
                  <c:v>0</c:v>
                </c:pt>
                <c:pt idx="1">
                  <c:v>0</c:v>
                </c:pt>
                <c:pt idx="2">
                  <c:v>-1</c:v>
                </c:pt>
                <c:pt idx="3">
                  <c:v>-1</c:v>
                </c:pt>
                <c:pt idx="4">
                  <c:v>-3</c:v>
                </c:pt>
                <c:pt idx="5">
                  <c:v>-5</c:v>
                </c:pt>
              </c:numCache>
            </c:numRef>
          </c:val>
          <c:extLst xmlns:c16r2="http://schemas.microsoft.com/office/drawing/2015/06/chart">
            <c:ext xmlns:c16="http://schemas.microsoft.com/office/drawing/2014/chart" uri="{C3380CC4-5D6E-409C-BE32-E72D297353CC}">
              <c16:uniqueId val="{00000006-05B9-4D2C-87CD-61CF22F3F1FB}"/>
            </c:ext>
          </c:extLst>
        </c:ser>
        <c:dLbls>
          <c:showLegendKey val="0"/>
          <c:showVal val="0"/>
          <c:showCatName val="0"/>
          <c:showSerName val="0"/>
          <c:showPercent val="0"/>
          <c:showBubbleSize val="0"/>
        </c:dLbls>
        <c:gapWidth val="219"/>
        <c:overlap val="-27"/>
        <c:axId val="433545024"/>
        <c:axId val="433545416"/>
      </c:barChart>
      <c:catAx>
        <c:axId val="433545024"/>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crossAx val="433545416"/>
        <c:crosses val="autoZero"/>
        <c:auto val="1"/>
        <c:lblAlgn val="ctr"/>
        <c:lblOffset val="100"/>
        <c:noMultiLvlLbl val="0"/>
      </c:catAx>
      <c:valAx>
        <c:axId val="433545416"/>
        <c:scaling>
          <c:orientation val="minMax"/>
          <c:max val="7"/>
          <c:min val="-6"/>
        </c:scaling>
        <c:delete val="0"/>
        <c:axPos val="l"/>
        <c:majorGridlines>
          <c:spPr>
            <a:ln w="9525" cap="flat" cmpd="sng" algn="ctr">
              <a:noFill/>
              <a:round/>
            </a:ln>
            <a:effectLst/>
          </c:spPr>
        </c:majorGridlines>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crossAx val="433545024"/>
        <c:crosses val="autoZero"/>
        <c:crossBetween val="between"/>
      </c:valAx>
      <c:spPr>
        <a:noFill/>
        <a:ln w="0">
          <a:noFill/>
        </a:ln>
        <a:effectLst/>
      </c:spPr>
    </c:plotArea>
    <c:legend>
      <c:legendPos val="b"/>
      <c:layout>
        <c:manualLayout>
          <c:xMode val="edge"/>
          <c:yMode val="edge"/>
          <c:x val="6.6509511053386358E-2"/>
          <c:y val="0.79952706641596805"/>
          <c:w val="0.89447217036014837"/>
          <c:h val="0.1864820219150927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468517466244554E-2"/>
          <c:y val="5.0925925925925923E-2"/>
          <c:w val="0.8962909327055768"/>
          <c:h val="0.60840823207689088"/>
        </c:manualLayout>
      </c:layout>
      <c:barChart>
        <c:barDir val="col"/>
        <c:grouping val="clustered"/>
        <c:varyColors val="0"/>
        <c:ser>
          <c:idx val="0"/>
          <c:order val="0"/>
          <c:tx>
            <c:strRef>
              <c:f>Hoja4!$A$58</c:f>
              <c:strCache>
                <c:ptCount val="1"/>
                <c:pt idx="0">
                  <c:v>Bosque</c:v>
                </c:pt>
              </c:strCache>
            </c:strRef>
          </c:tx>
          <c:spPr>
            <a:pattFill prst="lgConfetti">
              <a:fgClr>
                <a:srgbClr val="00B050"/>
              </a:fgClr>
              <a:bgClr>
                <a:schemeClr val="bg1"/>
              </a:bgClr>
            </a:pattFill>
            <a:ln>
              <a:solidFill>
                <a:schemeClr val="tx1"/>
              </a:solidFill>
            </a:ln>
            <a:effectLst/>
          </c:spPr>
          <c:invertIfNegative val="0"/>
          <c:cat>
            <c:strRef>
              <c:f>Hoja4!$B$57:$G$57</c:f>
              <c:strCache>
                <c:ptCount val="6"/>
                <c:pt idx="0">
                  <c:v>2020-2025</c:v>
                </c:pt>
                <c:pt idx="1">
                  <c:v>2025-2030</c:v>
                </c:pt>
                <c:pt idx="2">
                  <c:v>2030-2035</c:v>
                </c:pt>
                <c:pt idx="3">
                  <c:v>2035-2040</c:v>
                </c:pt>
                <c:pt idx="4">
                  <c:v>2040-2045</c:v>
                </c:pt>
                <c:pt idx="5">
                  <c:v>2045-2050</c:v>
                </c:pt>
              </c:strCache>
            </c:strRef>
          </c:cat>
          <c:val>
            <c:numRef>
              <c:f>Hoja4!$B$58:$G$58</c:f>
              <c:numCache>
                <c:formatCode>0</c:formatCode>
                <c:ptCount val="6"/>
                <c:pt idx="0">
                  <c:v>0</c:v>
                </c:pt>
                <c:pt idx="1">
                  <c:v>-1</c:v>
                </c:pt>
                <c:pt idx="2">
                  <c:v>0</c:v>
                </c:pt>
                <c:pt idx="3">
                  <c:v>0</c:v>
                </c:pt>
                <c:pt idx="4">
                  <c:v>-1</c:v>
                </c:pt>
                <c:pt idx="5">
                  <c:v>-2</c:v>
                </c:pt>
              </c:numCache>
            </c:numRef>
          </c:val>
          <c:extLst xmlns:c16r2="http://schemas.microsoft.com/office/drawing/2015/06/chart">
            <c:ext xmlns:c16="http://schemas.microsoft.com/office/drawing/2014/chart" uri="{C3380CC4-5D6E-409C-BE32-E72D297353CC}">
              <c16:uniqueId val="{00000000-516E-40B9-B773-8A3C1B798CD6}"/>
            </c:ext>
          </c:extLst>
        </c:ser>
        <c:ser>
          <c:idx val="1"/>
          <c:order val="1"/>
          <c:tx>
            <c:strRef>
              <c:f>Hoja4!$A$59</c:f>
              <c:strCache>
                <c:ptCount val="1"/>
                <c:pt idx="0">
                  <c:v>Cuerpo de Agua</c:v>
                </c:pt>
              </c:strCache>
            </c:strRef>
          </c:tx>
          <c:spPr>
            <a:pattFill prst="pct70">
              <a:fgClr>
                <a:srgbClr val="0070C0"/>
              </a:fgClr>
              <a:bgClr>
                <a:schemeClr val="bg1"/>
              </a:bgClr>
            </a:pattFill>
            <a:ln>
              <a:solidFill>
                <a:schemeClr val="tx1"/>
              </a:solidFill>
            </a:ln>
            <a:effectLst/>
          </c:spPr>
          <c:invertIfNegative val="0"/>
          <c:cat>
            <c:strRef>
              <c:f>Hoja4!$B$57:$G$57</c:f>
              <c:strCache>
                <c:ptCount val="6"/>
                <c:pt idx="0">
                  <c:v>2020-2025</c:v>
                </c:pt>
                <c:pt idx="1">
                  <c:v>2025-2030</c:v>
                </c:pt>
                <c:pt idx="2">
                  <c:v>2030-2035</c:v>
                </c:pt>
                <c:pt idx="3">
                  <c:v>2035-2040</c:v>
                </c:pt>
                <c:pt idx="4">
                  <c:v>2040-2045</c:v>
                </c:pt>
                <c:pt idx="5">
                  <c:v>2045-2050</c:v>
                </c:pt>
              </c:strCache>
            </c:strRef>
          </c:cat>
          <c:val>
            <c:numRef>
              <c:f>Hoja4!$B$59:$G$59</c:f>
              <c:numCache>
                <c:formatCode>0</c:formatCode>
                <c:ptCount val="6"/>
                <c:pt idx="0">
                  <c:v>0</c:v>
                </c:pt>
                <c:pt idx="1">
                  <c:v>-2</c:v>
                </c:pt>
                <c:pt idx="2">
                  <c:v>-1</c:v>
                </c:pt>
                <c:pt idx="3">
                  <c:v>-1</c:v>
                </c:pt>
                <c:pt idx="4">
                  <c:v>-2</c:v>
                </c:pt>
                <c:pt idx="5">
                  <c:v>-4</c:v>
                </c:pt>
              </c:numCache>
            </c:numRef>
          </c:val>
          <c:extLst xmlns:c16r2="http://schemas.microsoft.com/office/drawing/2015/06/chart">
            <c:ext xmlns:c16="http://schemas.microsoft.com/office/drawing/2014/chart" uri="{C3380CC4-5D6E-409C-BE32-E72D297353CC}">
              <c16:uniqueId val="{00000001-516E-40B9-B773-8A3C1B798CD6}"/>
            </c:ext>
          </c:extLst>
        </c:ser>
        <c:ser>
          <c:idx val="2"/>
          <c:order val="2"/>
          <c:tx>
            <c:strRef>
              <c:f>Hoja4!$A$60</c:f>
              <c:strCache>
                <c:ptCount val="1"/>
                <c:pt idx="0">
                  <c:v>Acuicola</c:v>
                </c:pt>
              </c:strCache>
            </c:strRef>
          </c:tx>
          <c:spPr>
            <a:pattFill prst="wave">
              <a:fgClr>
                <a:srgbClr val="0070C0"/>
              </a:fgClr>
              <a:bgClr>
                <a:schemeClr val="bg1"/>
              </a:bgClr>
            </a:pattFill>
            <a:ln>
              <a:solidFill>
                <a:schemeClr val="tx1"/>
              </a:solidFill>
            </a:ln>
            <a:effectLst/>
          </c:spPr>
          <c:invertIfNegative val="0"/>
          <c:cat>
            <c:strRef>
              <c:f>Hoja4!$B$57:$G$57</c:f>
              <c:strCache>
                <c:ptCount val="6"/>
                <c:pt idx="0">
                  <c:v>2020-2025</c:v>
                </c:pt>
                <c:pt idx="1">
                  <c:v>2025-2030</c:v>
                </c:pt>
                <c:pt idx="2">
                  <c:v>2030-2035</c:v>
                </c:pt>
                <c:pt idx="3">
                  <c:v>2035-2040</c:v>
                </c:pt>
                <c:pt idx="4">
                  <c:v>2040-2045</c:v>
                </c:pt>
                <c:pt idx="5">
                  <c:v>2045-2050</c:v>
                </c:pt>
              </c:strCache>
            </c:strRef>
          </c:cat>
          <c:val>
            <c:numRef>
              <c:f>Hoja4!$B$60:$G$60</c:f>
              <c:numCache>
                <c:formatCode>0</c:formatCode>
                <c:ptCount val="6"/>
                <c:pt idx="0">
                  <c:v>0</c:v>
                </c:pt>
                <c:pt idx="1">
                  <c:v>2</c:v>
                </c:pt>
                <c:pt idx="2">
                  <c:v>3</c:v>
                </c:pt>
                <c:pt idx="3">
                  <c:v>3</c:v>
                </c:pt>
                <c:pt idx="4">
                  <c:v>1</c:v>
                </c:pt>
                <c:pt idx="5">
                  <c:v>2</c:v>
                </c:pt>
              </c:numCache>
            </c:numRef>
          </c:val>
          <c:extLst xmlns:c16r2="http://schemas.microsoft.com/office/drawing/2015/06/chart">
            <c:ext xmlns:c16="http://schemas.microsoft.com/office/drawing/2014/chart" uri="{C3380CC4-5D6E-409C-BE32-E72D297353CC}">
              <c16:uniqueId val="{00000002-516E-40B9-B773-8A3C1B798CD6}"/>
            </c:ext>
          </c:extLst>
        </c:ser>
        <c:ser>
          <c:idx val="3"/>
          <c:order val="3"/>
          <c:tx>
            <c:strRef>
              <c:f>Hoja4!$A$61</c:f>
              <c:strCache>
                <c:ptCount val="1"/>
                <c:pt idx="0">
                  <c:v>Zona Antropica</c:v>
                </c:pt>
              </c:strCache>
            </c:strRef>
          </c:tx>
          <c:spPr>
            <a:pattFill prst="lgCheck">
              <a:fgClr>
                <a:srgbClr val="FF0000"/>
              </a:fgClr>
              <a:bgClr>
                <a:schemeClr val="bg1"/>
              </a:bgClr>
            </a:pattFill>
            <a:ln>
              <a:solidFill>
                <a:schemeClr val="tx1"/>
              </a:solidFill>
            </a:ln>
            <a:effectLst/>
          </c:spPr>
          <c:invertIfNegative val="0"/>
          <c:cat>
            <c:strRef>
              <c:f>Hoja4!$B$57:$G$57</c:f>
              <c:strCache>
                <c:ptCount val="6"/>
                <c:pt idx="0">
                  <c:v>2020-2025</c:v>
                </c:pt>
                <c:pt idx="1">
                  <c:v>2025-2030</c:v>
                </c:pt>
                <c:pt idx="2">
                  <c:v>2030-2035</c:v>
                </c:pt>
                <c:pt idx="3">
                  <c:v>2035-2040</c:v>
                </c:pt>
                <c:pt idx="4">
                  <c:v>2040-2045</c:v>
                </c:pt>
                <c:pt idx="5">
                  <c:v>2045-2050</c:v>
                </c:pt>
              </c:strCache>
            </c:strRef>
          </c:cat>
          <c:val>
            <c:numRef>
              <c:f>Hoja4!$B$61:$G$61</c:f>
              <c:numCache>
                <c:formatCode>0</c:formatCode>
                <c:ptCount val="6"/>
                <c:pt idx="0">
                  <c:v>5</c:v>
                </c:pt>
                <c:pt idx="1">
                  <c:v>5</c:v>
                </c:pt>
                <c:pt idx="2">
                  <c:v>7</c:v>
                </c:pt>
                <c:pt idx="3">
                  <c:v>6</c:v>
                </c:pt>
                <c:pt idx="4">
                  <c:v>6</c:v>
                </c:pt>
                <c:pt idx="5">
                  <c:v>6</c:v>
                </c:pt>
              </c:numCache>
            </c:numRef>
          </c:val>
          <c:extLst xmlns:c16r2="http://schemas.microsoft.com/office/drawing/2015/06/chart">
            <c:ext xmlns:c16="http://schemas.microsoft.com/office/drawing/2014/chart" uri="{C3380CC4-5D6E-409C-BE32-E72D297353CC}">
              <c16:uniqueId val="{00000003-516E-40B9-B773-8A3C1B798CD6}"/>
            </c:ext>
          </c:extLst>
        </c:ser>
        <c:ser>
          <c:idx val="4"/>
          <c:order val="4"/>
          <c:tx>
            <c:strRef>
              <c:f>Hoja4!$A$62</c:f>
              <c:strCache>
                <c:ptCount val="1"/>
                <c:pt idx="0">
                  <c:v>Otras Tierras</c:v>
                </c:pt>
              </c:strCache>
            </c:strRef>
          </c:tx>
          <c:spPr>
            <a:pattFill prst="pct10">
              <a:fgClr>
                <a:schemeClr val="tx1">
                  <a:lumMod val="50000"/>
                  <a:lumOff val="50000"/>
                </a:schemeClr>
              </a:fgClr>
              <a:bgClr>
                <a:schemeClr val="bg1"/>
              </a:bgClr>
            </a:pattFill>
            <a:ln>
              <a:solidFill>
                <a:schemeClr val="tx1"/>
              </a:solidFill>
            </a:ln>
            <a:effectLst/>
          </c:spPr>
          <c:invertIfNegative val="0"/>
          <c:cat>
            <c:strRef>
              <c:f>Hoja4!$B$57:$G$57</c:f>
              <c:strCache>
                <c:ptCount val="6"/>
                <c:pt idx="0">
                  <c:v>2020-2025</c:v>
                </c:pt>
                <c:pt idx="1">
                  <c:v>2025-2030</c:v>
                </c:pt>
                <c:pt idx="2">
                  <c:v>2030-2035</c:v>
                </c:pt>
                <c:pt idx="3">
                  <c:v>2035-2040</c:v>
                </c:pt>
                <c:pt idx="4">
                  <c:v>2040-2045</c:v>
                </c:pt>
                <c:pt idx="5">
                  <c:v>2045-2050</c:v>
                </c:pt>
              </c:strCache>
            </c:strRef>
          </c:cat>
          <c:val>
            <c:numRef>
              <c:f>Hoja4!$B$62:$G$62</c:f>
              <c:numCache>
                <c:formatCode>0</c:formatCode>
                <c:ptCount val="6"/>
                <c:pt idx="0">
                  <c:v>-1</c:v>
                </c:pt>
                <c:pt idx="1">
                  <c:v>-2</c:v>
                </c:pt>
                <c:pt idx="2">
                  <c:v>-7</c:v>
                </c:pt>
                <c:pt idx="3">
                  <c:v>-7</c:v>
                </c:pt>
                <c:pt idx="4">
                  <c:v>-9</c:v>
                </c:pt>
                <c:pt idx="5">
                  <c:v>-10</c:v>
                </c:pt>
              </c:numCache>
            </c:numRef>
          </c:val>
          <c:extLst xmlns:c16r2="http://schemas.microsoft.com/office/drawing/2015/06/chart">
            <c:ext xmlns:c16="http://schemas.microsoft.com/office/drawing/2014/chart" uri="{C3380CC4-5D6E-409C-BE32-E72D297353CC}">
              <c16:uniqueId val="{00000004-516E-40B9-B773-8A3C1B798CD6}"/>
            </c:ext>
          </c:extLst>
        </c:ser>
        <c:ser>
          <c:idx val="5"/>
          <c:order val="5"/>
          <c:tx>
            <c:strRef>
              <c:f>Hoja4!$A$63</c:f>
              <c:strCache>
                <c:ptCount val="1"/>
                <c:pt idx="0">
                  <c:v>Tierras Agropecuarias</c:v>
                </c:pt>
              </c:strCache>
            </c:strRef>
          </c:tx>
          <c:spPr>
            <a:pattFill prst="sphere">
              <a:fgClr>
                <a:srgbClr val="92D050"/>
              </a:fgClr>
              <a:bgClr>
                <a:schemeClr val="bg1"/>
              </a:bgClr>
            </a:pattFill>
            <a:ln>
              <a:solidFill>
                <a:schemeClr val="tx1"/>
              </a:solidFill>
            </a:ln>
            <a:effectLst/>
          </c:spPr>
          <c:invertIfNegative val="0"/>
          <c:cat>
            <c:strRef>
              <c:f>Hoja4!$B$57:$G$57</c:f>
              <c:strCache>
                <c:ptCount val="6"/>
                <c:pt idx="0">
                  <c:v>2020-2025</c:v>
                </c:pt>
                <c:pt idx="1">
                  <c:v>2025-2030</c:v>
                </c:pt>
                <c:pt idx="2">
                  <c:v>2030-2035</c:v>
                </c:pt>
                <c:pt idx="3">
                  <c:v>2035-2040</c:v>
                </c:pt>
                <c:pt idx="4">
                  <c:v>2040-2045</c:v>
                </c:pt>
                <c:pt idx="5">
                  <c:v>2045-2050</c:v>
                </c:pt>
              </c:strCache>
            </c:strRef>
          </c:cat>
          <c:val>
            <c:numRef>
              <c:f>Hoja4!$B$63:$G$63</c:f>
              <c:numCache>
                <c:formatCode>0</c:formatCode>
                <c:ptCount val="6"/>
                <c:pt idx="0">
                  <c:v>0</c:v>
                </c:pt>
                <c:pt idx="1">
                  <c:v>0</c:v>
                </c:pt>
                <c:pt idx="2">
                  <c:v>3</c:v>
                </c:pt>
                <c:pt idx="3">
                  <c:v>1</c:v>
                </c:pt>
                <c:pt idx="4">
                  <c:v>2</c:v>
                </c:pt>
                <c:pt idx="5">
                  <c:v>2</c:v>
                </c:pt>
              </c:numCache>
            </c:numRef>
          </c:val>
          <c:extLst xmlns:c16r2="http://schemas.microsoft.com/office/drawing/2015/06/chart">
            <c:ext xmlns:c16="http://schemas.microsoft.com/office/drawing/2014/chart" uri="{C3380CC4-5D6E-409C-BE32-E72D297353CC}">
              <c16:uniqueId val="{00000005-516E-40B9-B773-8A3C1B798CD6}"/>
            </c:ext>
          </c:extLst>
        </c:ser>
        <c:ser>
          <c:idx val="6"/>
          <c:order val="6"/>
          <c:tx>
            <c:strRef>
              <c:f>Hoja4!$A$64</c:f>
              <c:strCache>
                <c:ptCount val="1"/>
                <c:pt idx="0">
                  <c:v>Vegetación Arbustiva y Herbacea</c:v>
                </c:pt>
              </c:strCache>
            </c:strRef>
          </c:tx>
          <c:spPr>
            <a:pattFill prst="pct30">
              <a:fgClr>
                <a:srgbClr val="FFFF00"/>
              </a:fgClr>
              <a:bgClr>
                <a:schemeClr val="bg1"/>
              </a:bgClr>
            </a:pattFill>
            <a:ln>
              <a:solidFill>
                <a:schemeClr val="tx1"/>
              </a:solidFill>
            </a:ln>
            <a:effectLst/>
          </c:spPr>
          <c:invertIfNegative val="0"/>
          <c:cat>
            <c:strRef>
              <c:f>Hoja4!$B$57:$G$57</c:f>
              <c:strCache>
                <c:ptCount val="6"/>
                <c:pt idx="0">
                  <c:v>2020-2025</c:v>
                </c:pt>
                <c:pt idx="1">
                  <c:v>2025-2030</c:v>
                </c:pt>
                <c:pt idx="2">
                  <c:v>2030-2035</c:v>
                </c:pt>
                <c:pt idx="3">
                  <c:v>2035-2040</c:v>
                </c:pt>
                <c:pt idx="4">
                  <c:v>2040-2045</c:v>
                </c:pt>
                <c:pt idx="5">
                  <c:v>2045-2050</c:v>
                </c:pt>
              </c:strCache>
            </c:strRef>
          </c:cat>
          <c:val>
            <c:numRef>
              <c:f>Hoja4!$B$64:$G$64</c:f>
              <c:numCache>
                <c:formatCode>0</c:formatCode>
                <c:ptCount val="6"/>
                <c:pt idx="0">
                  <c:v>-1</c:v>
                </c:pt>
                <c:pt idx="1">
                  <c:v>-4</c:v>
                </c:pt>
                <c:pt idx="2">
                  <c:v>-5</c:v>
                </c:pt>
                <c:pt idx="3">
                  <c:v>-7</c:v>
                </c:pt>
                <c:pt idx="4">
                  <c:v>-8</c:v>
                </c:pt>
                <c:pt idx="5">
                  <c:v>-9</c:v>
                </c:pt>
              </c:numCache>
            </c:numRef>
          </c:val>
          <c:extLst xmlns:c16r2="http://schemas.microsoft.com/office/drawing/2015/06/chart">
            <c:ext xmlns:c16="http://schemas.microsoft.com/office/drawing/2014/chart" uri="{C3380CC4-5D6E-409C-BE32-E72D297353CC}">
              <c16:uniqueId val="{00000006-516E-40B9-B773-8A3C1B798CD6}"/>
            </c:ext>
          </c:extLst>
        </c:ser>
        <c:dLbls>
          <c:showLegendKey val="0"/>
          <c:showVal val="0"/>
          <c:showCatName val="0"/>
          <c:showSerName val="0"/>
          <c:showPercent val="0"/>
          <c:showBubbleSize val="0"/>
        </c:dLbls>
        <c:gapWidth val="219"/>
        <c:overlap val="-27"/>
        <c:axId val="431432264"/>
        <c:axId val="431432656"/>
      </c:barChart>
      <c:catAx>
        <c:axId val="431432264"/>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crossAx val="431432656"/>
        <c:crosses val="autoZero"/>
        <c:auto val="1"/>
        <c:lblAlgn val="ctr"/>
        <c:lblOffset val="100"/>
        <c:noMultiLvlLbl val="0"/>
      </c:catAx>
      <c:valAx>
        <c:axId val="431432656"/>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crossAx val="431432264"/>
        <c:crosses val="autoZero"/>
        <c:crossBetween val="between"/>
      </c:valAx>
      <c:spPr>
        <a:noFill/>
        <a:ln w="0">
          <a:noFill/>
        </a:ln>
        <a:effectLst/>
      </c:spPr>
    </c:plotArea>
    <c:legend>
      <c:legendPos val="b"/>
      <c:layout>
        <c:manualLayout>
          <c:xMode val="edge"/>
          <c:yMode val="edge"/>
          <c:x val="1.7024974970912144E-2"/>
          <c:y val="0.74719481165771706"/>
          <c:w val="0.96320069269691799"/>
          <c:h val="0.224262884570621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C"/>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Vava/ou0QLYqk8G8oKpEDbl1Sw==">AMUW2mWYF8tScl3dDmgwj+fod+r2zMNxvWKaXRsu9kczcpqGaG+AuealgFuOHWw7Ke74pW3ZcWAj/GO+0Sk2HlYeKk5zE5VRoREiylGQsheQFZRmP4QtUTQ=</go:docsCustomData>
</go:gDocsCustomXmlDataStorage>
</file>

<file path=customXml/item2.xml><?xml version="1.0" encoding="utf-8"?>
<b:Sources xmlns:b="http://schemas.openxmlformats.org/officeDocument/2006/bibliography" xmlns="http://schemas.openxmlformats.org/officeDocument/2006/bibliography" SelectedStyle="/ISO690.XSL" StyleName="ISO 690 - First Element and Date" Version="1987">
  <b:Source>
    <b:Tag>Def17</b:Tag>
    <b:SourceType>DocumentFromInternetSite</b:SourceType>
    <b:Guid>{D9F5AA6F-195F-4BCF-A0E8-355D7839BBE9}</b:Guid>
    <b:Author>
      <b:Author>
        <b:Corporate>Defensoría del Pueblo</b:Corporate>
      </b:Author>
    </b:Author>
    <b:Title>DPE-MNPT-2017-0019- Informe ejecutivo de la visita al aeropuerto José Joaquín De Olmedo de Guayaquil</b:Title>
    <b:Year>2017</b:Year>
    <b:Publisher>Defensoría del Pueblo.</b:Publisher>
    <b:City>Quito, Ecuador</b:City>
    <b:URL>https://www.dpe.gob.ec/wp-content/dpemnpt/2017/informe-aeropuerto-guayaquil-2017.pdf</b:URL>
    <b:YearAccessed>2019</b:YearAccessed>
    <b:MonthAccessed>noviembre</b:MonthAccessed>
    <b:DayAccessed>21</b:DayAccessed>
    <b:RefOrder>1</b:RefOrder>
  </b:Source>
  <b:Source>
    <b:Tag>Niv14</b:Tag>
    <b:SourceType>DocumentFromInternetSite</b:SourceType>
    <b:Guid>{E304D14C-7A83-445E-B71F-170A54CC0089}</b:Guid>
    <b:Author>
      <b:Author>
        <b:NameList>
          <b:Person>
            <b:Last>Nivelo</b:Last>
            <b:First>Pedro</b:First>
          </b:Person>
        </b:NameList>
      </b:Author>
      <b:Editor>
        <b:NameList>
          <b:Person>
            <b:Last>Guayaquil</b:Last>
            <b:First>Universidad</b:First>
            <b:Middle>de</b:Middle>
          </b:Person>
        </b:NameList>
      </b:Editor>
    </b:Author>
    <b:Title>Proyecto de estudio para el aeropuerto de Guayaquil mediante la implementación de recursos energéticos renovables en el sector Daular Provincia del Guayas</b:Title>
    <b:Year>2014</b:Year>
    <b:Publisher>Universidad de Guayaquil</b:Publisher>
    <b:City>Guayaquil, Ecuador</b:City>
    <b:Month>marzo</b:Month>
    <b:Day>27</b:Day>
    <b:URL>http://repositorio.ug.edu.ec/handle/redug/3885</b:URL>
    <b:YearAccessed>2019</b:YearAccessed>
    <b:MonthAccessed>noviembre</b:MonthAccessed>
    <b:DayAccessed>10</b:DayAccessed>
    <b:RefOrder>2</b:RefOrder>
  </b:Source>
  <b:Source>
    <b:Tag>est03</b:Tag>
    <b:SourceType>DocumentFromInternetSite</b:SourceType>
    <b:Guid>{F8C4ADDF-36DD-4C11-ABF9-BD796D241C34}</b:Guid>
    <b:Author>
      <b:Author>
        <b:NameList>
          <b:Person>
            <b:Last>Estrucplan</b:Last>
          </b:Person>
        </b:NameList>
      </b:Author>
    </b:Author>
    <b:Title>Impactos Ambientales Actividades Productivas. Aeropuertos</b:Title>
    <b:Year>2000</b:Year>
    <b:YearAccessed>2019</b:YearAccessed>
    <b:MonthAccessed>febrero</b:MonthAccessed>
    <b:DayAccessed>22</b:DayAccessed>
    <b:Publisher>admin</b:Publisher>
    <b:City>Argentina</b:City>
    <b:Month>enero</b:Month>
    <b:Day>01</b:Day>
    <b:URL>https://estrucplan.com.ar/herramientas-para-la-evaluacion-del-impacto-ambiental/</b:URL>
    <b:RefOrder>3</b:RefOrder>
  </b:Source>
  <b:Source>
    <b:Tag>Pre16</b:Tag>
    <b:SourceType>DocumentFromInternetSite</b:SourceType>
    <b:Guid>{4D5BAE1B-40DF-4C89-8A1C-B111B40F9690}</b:Guid>
    <b:Title>Universidad de Guayaquil</b:Title>
    <b:Year>2016</b:Year>
    <b:PublicationTitle>Diseño urbanístico de los centros poblados El Daular- El Consuelo del cantón Guayaquil provincia del Guayas</b:PublicationTitle>
    <b:City>Guayaquil</b:City>
    <b:Author>
      <b:Author>
        <b:NameList>
          <b:Person>
            <b:Last>Preciado</b:Last>
            <b:First>Rosa</b:First>
          </b:Person>
        </b:NameList>
      </b:Author>
    </b:Author>
    <b:Month>9</b:Month>
    <b:Day>29</b:Day>
    <b:URL>http://repositorio.ug.edu.ec/bitstream/redug/16633/1/TESIS%20%20FINAL%20R%20PRECIADO%20%2829%20SEPT%29.pdf</b:URL>
    <b:YearAccessed>2019</b:YearAccessed>
    <b:MonthAccessed>11</b:MonthAccessed>
    <b:DayAccessed>15</b:DayAccessed>
    <b:RefOrder>27</b:RefOrder>
  </b:Source>
  <b:Source>
    <b:Tag>MarcadorDePosición2</b:Tag>
    <b:SourceType>Book</b:SourceType>
    <b:Guid>{DB0DB64F-A8AA-4C3C-B117-94480C135526}</b:Guid>
    <b:Author>
      <b:Author>
        <b:Corporate>AAG</b:Corporate>
      </b:Author>
    </b:Author>
    <b:Title>Plan de Desarrollo Integral de la Zona del Aeropuerto Daular-Chongón</b:Title>
    <b:Year>2009</b:Year>
    <b:City>Guayaquil</b:City>
    <b:Publisher>Autoridad Aeroportuaria de Guayaquil</b:Publisher>
    <b:YearAccessed>2019</b:YearAccessed>
    <b:MonthAccessed>septiembre</b:MonthAccessed>
    <b:DayAccessed>23</b:DayAccessed>
    <b:URL>https://vdocuments.site/anexo-1-plan-de-desarrollo-integral-de-la-zona-del-aeropuerto-daular-chongon-aagpdf.html</b:URL>
    <b:RefOrder>38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5E3EE6-3AE8-4434-98AB-8BCB8236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3208</Words>
  <Characters>17649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Escuela</dc:creator>
  <cp:lastModifiedBy>Joel</cp:lastModifiedBy>
  <cp:revision>9</cp:revision>
  <dcterms:created xsi:type="dcterms:W3CDTF">2021-01-31T13:49:00Z</dcterms:created>
  <dcterms:modified xsi:type="dcterms:W3CDTF">2021-06-26T01:24:00Z</dcterms:modified>
</cp:coreProperties>
</file>